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1EE9AF" w14:textId="77777777" w:rsidR="000A2C4B" w:rsidRPr="009B2A62" w:rsidRDefault="000A2C4B" w:rsidP="009B2A62">
      <w:pPr>
        <w:spacing w:after="0" w:line="480" w:lineRule="auto"/>
        <w:rPr>
          <w:rFonts w:ascii="Times New Roman" w:hAnsi="Times New Roman" w:cs="Times New Roman"/>
          <w:sz w:val="24"/>
          <w:szCs w:val="24"/>
        </w:rPr>
      </w:pPr>
      <w:bookmarkStart w:id="0" w:name="_GoBack"/>
      <w:bookmarkEnd w:id="0"/>
    </w:p>
    <w:p w14:paraId="45F7B318" w14:textId="77777777" w:rsidR="000A2C4B" w:rsidRPr="009B2A62" w:rsidRDefault="000A2C4B" w:rsidP="009B2A62">
      <w:pPr>
        <w:spacing w:after="0" w:line="480" w:lineRule="auto"/>
        <w:rPr>
          <w:rFonts w:ascii="Times New Roman" w:hAnsi="Times New Roman" w:cs="Times New Roman"/>
          <w:sz w:val="24"/>
          <w:szCs w:val="24"/>
        </w:rPr>
      </w:pPr>
    </w:p>
    <w:p w14:paraId="4A9E755D" w14:textId="77777777" w:rsidR="000A2C4B" w:rsidRPr="009B2A62" w:rsidRDefault="000A2C4B" w:rsidP="009B2A62">
      <w:pPr>
        <w:spacing w:after="0" w:line="480" w:lineRule="auto"/>
        <w:rPr>
          <w:rFonts w:ascii="Times New Roman" w:hAnsi="Times New Roman" w:cs="Times New Roman"/>
          <w:sz w:val="24"/>
          <w:szCs w:val="24"/>
        </w:rPr>
      </w:pPr>
    </w:p>
    <w:p w14:paraId="3C093BDD" w14:textId="77777777" w:rsidR="006A41A6" w:rsidRPr="009B2A62" w:rsidRDefault="003B1437" w:rsidP="009B2A6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 RESEARCH PROPOSAL ON </w:t>
      </w:r>
      <w:r w:rsidR="000A2C4B" w:rsidRPr="009B2A62">
        <w:rPr>
          <w:rFonts w:ascii="Times New Roman" w:hAnsi="Times New Roman" w:cs="Times New Roman"/>
          <w:sz w:val="24"/>
          <w:szCs w:val="24"/>
        </w:rPr>
        <w:t>THE IMPACTS OF WOMEN’S LIBERATION</w:t>
      </w:r>
    </w:p>
    <w:p w14:paraId="494A6746" w14:textId="77777777" w:rsidR="000A2C4B" w:rsidRPr="009B2A62" w:rsidRDefault="000A2C4B" w:rsidP="009B2A62">
      <w:pPr>
        <w:spacing w:after="0" w:line="480" w:lineRule="auto"/>
        <w:jc w:val="center"/>
        <w:rPr>
          <w:rFonts w:ascii="Times New Roman" w:hAnsi="Times New Roman" w:cs="Times New Roman"/>
          <w:sz w:val="24"/>
          <w:szCs w:val="24"/>
        </w:rPr>
      </w:pPr>
    </w:p>
    <w:p w14:paraId="4668C80A" w14:textId="77777777" w:rsidR="000A2C4B" w:rsidRPr="009B2A62" w:rsidRDefault="000A2C4B" w:rsidP="009B2A62">
      <w:pPr>
        <w:spacing w:after="0" w:line="480" w:lineRule="auto"/>
        <w:jc w:val="center"/>
        <w:rPr>
          <w:rFonts w:ascii="Times New Roman" w:hAnsi="Times New Roman" w:cs="Times New Roman"/>
          <w:sz w:val="24"/>
          <w:szCs w:val="24"/>
        </w:rPr>
      </w:pPr>
    </w:p>
    <w:p w14:paraId="3CCEF8C8" w14:textId="77777777" w:rsidR="000A2C4B" w:rsidRPr="009B2A62" w:rsidRDefault="000A2C4B" w:rsidP="009B2A62">
      <w:pPr>
        <w:spacing w:after="0" w:line="480" w:lineRule="auto"/>
        <w:jc w:val="center"/>
        <w:rPr>
          <w:rFonts w:ascii="Times New Roman" w:hAnsi="Times New Roman" w:cs="Times New Roman"/>
          <w:sz w:val="24"/>
          <w:szCs w:val="24"/>
        </w:rPr>
      </w:pPr>
    </w:p>
    <w:p w14:paraId="6B2ADFA1" w14:textId="77777777" w:rsidR="000A2C4B" w:rsidRPr="009B2A62" w:rsidRDefault="000A2C4B" w:rsidP="009B2A62">
      <w:pPr>
        <w:spacing w:after="0" w:line="480" w:lineRule="auto"/>
        <w:jc w:val="center"/>
        <w:rPr>
          <w:rFonts w:ascii="Times New Roman" w:hAnsi="Times New Roman" w:cs="Times New Roman"/>
          <w:sz w:val="24"/>
          <w:szCs w:val="24"/>
        </w:rPr>
      </w:pPr>
    </w:p>
    <w:p w14:paraId="66D20E8F" w14:textId="77777777" w:rsidR="000A2C4B" w:rsidRPr="009B2A62" w:rsidRDefault="000A2C4B" w:rsidP="009B2A62">
      <w:pPr>
        <w:spacing w:after="0" w:line="480" w:lineRule="auto"/>
        <w:jc w:val="center"/>
        <w:rPr>
          <w:rFonts w:ascii="Times New Roman" w:hAnsi="Times New Roman" w:cs="Times New Roman"/>
          <w:sz w:val="24"/>
          <w:szCs w:val="24"/>
        </w:rPr>
      </w:pPr>
    </w:p>
    <w:p w14:paraId="23857385" w14:textId="77777777" w:rsidR="000A2C4B" w:rsidRPr="009B2A62" w:rsidRDefault="000A2C4B" w:rsidP="009B2A62">
      <w:pPr>
        <w:spacing w:after="0" w:line="480" w:lineRule="auto"/>
        <w:jc w:val="center"/>
        <w:rPr>
          <w:rFonts w:ascii="Times New Roman" w:hAnsi="Times New Roman" w:cs="Times New Roman"/>
          <w:sz w:val="24"/>
          <w:szCs w:val="24"/>
        </w:rPr>
      </w:pPr>
    </w:p>
    <w:p w14:paraId="51AD7A8D" w14:textId="77777777" w:rsidR="000A2C4B" w:rsidRPr="009B2A62" w:rsidRDefault="003B1437" w:rsidP="009B2A62">
      <w:pPr>
        <w:spacing w:after="0" w:line="480" w:lineRule="auto"/>
        <w:jc w:val="center"/>
        <w:rPr>
          <w:rFonts w:ascii="Times New Roman" w:hAnsi="Times New Roman" w:cs="Times New Roman"/>
          <w:sz w:val="24"/>
          <w:szCs w:val="24"/>
        </w:rPr>
      </w:pPr>
      <w:r w:rsidRPr="009B2A62">
        <w:rPr>
          <w:rFonts w:ascii="Times New Roman" w:hAnsi="Times New Roman" w:cs="Times New Roman"/>
          <w:sz w:val="24"/>
          <w:szCs w:val="24"/>
        </w:rPr>
        <w:t>Student’s Name</w:t>
      </w:r>
    </w:p>
    <w:p w14:paraId="074346C6" w14:textId="77777777" w:rsidR="000A2C4B" w:rsidRPr="009B2A62" w:rsidRDefault="003B1437" w:rsidP="009B2A62">
      <w:pPr>
        <w:spacing w:after="0" w:line="480" w:lineRule="auto"/>
        <w:jc w:val="center"/>
        <w:rPr>
          <w:rFonts w:ascii="Times New Roman" w:hAnsi="Times New Roman" w:cs="Times New Roman"/>
          <w:sz w:val="24"/>
          <w:szCs w:val="24"/>
        </w:rPr>
      </w:pPr>
      <w:r w:rsidRPr="009B2A62">
        <w:rPr>
          <w:rFonts w:ascii="Times New Roman" w:hAnsi="Times New Roman" w:cs="Times New Roman"/>
          <w:sz w:val="24"/>
          <w:szCs w:val="24"/>
        </w:rPr>
        <w:t>Instructor’s Name</w:t>
      </w:r>
    </w:p>
    <w:p w14:paraId="3AFEBB59" w14:textId="77777777" w:rsidR="000A2C4B" w:rsidRPr="009B2A62" w:rsidRDefault="003B1437" w:rsidP="009B2A62">
      <w:pPr>
        <w:spacing w:after="0" w:line="480" w:lineRule="auto"/>
        <w:jc w:val="center"/>
        <w:rPr>
          <w:rFonts w:ascii="Times New Roman" w:hAnsi="Times New Roman" w:cs="Times New Roman"/>
          <w:sz w:val="24"/>
          <w:szCs w:val="24"/>
        </w:rPr>
      </w:pPr>
      <w:r w:rsidRPr="009B2A62">
        <w:rPr>
          <w:rFonts w:ascii="Times New Roman" w:hAnsi="Times New Roman" w:cs="Times New Roman"/>
          <w:sz w:val="24"/>
          <w:szCs w:val="24"/>
        </w:rPr>
        <w:t>Course</w:t>
      </w:r>
    </w:p>
    <w:p w14:paraId="52887803" w14:textId="1F9BC21E" w:rsidR="000A2C4B" w:rsidRPr="009B2A62" w:rsidRDefault="003B1437" w:rsidP="00D971FC">
      <w:pPr>
        <w:spacing w:after="0" w:line="480" w:lineRule="auto"/>
        <w:jc w:val="center"/>
        <w:rPr>
          <w:rFonts w:ascii="Times New Roman" w:hAnsi="Times New Roman" w:cs="Times New Roman"/>
          <w:sz w:val="24"/>
          <w:szCs w:val="24"/>
        </w:rPr>
      </w:pPr>
      <w:r w:rsidRPr="009B2A62">
        <w:rPr>
          <w:rFonts w:ascii="Times New Roman" w:hAnsi="Times New Roman" w:cs="Times New Roman"/>
          <w:sz w:val="24"/>
          <w:szCs w:val="24"/>
        </w:rPr>
        <w:t>Date</w:t>
      </w:r>
    </w:p>
    <w:p w14:paraId="4BAC0553" w14:textId="77777777" w:rsidR="00D971FC" w:rsidRDefault="00D971FC" w:rsidP="009B2A6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5870EDEB" w14:textId="0F4B0283" w:rsidR="006A41A6" w:rsidRPr="009B2A62" w:rsidRDefault="003B1437" w:rsidP="009B2A62">
      <w:pPr>
        <w:spacing w:after="0" w:line="480" w:lineRule="auto"/>
        <w:jc w:val="center"/>
        <w:rPr>
          <w:rFonts w:ascii="Times New Roman" w:hAnsi="Times New Roman" w:cs="Times New Roman"/>
          <w:b/>
          <w:sz w:val="24"/>
          <w:szCs w:val="24"/>
        </w:rPr>
      </w:pPr>
      <w:r w:rsidRPr="009B2A62">
        <w:rPr>
          <w:rFonts w:ascii="Times New Roman" w:hAnsi="Times New Roman" w:cs="Times New Roman"/>
          <w:b/>
          <w:sz w:val="24"/>
          <w:szCs w:val="24"/>
        </w:rPr>
        <w:lastRenderedPageBreak/>
        <w:t>Introduction</w:t>
      </w:r>
    </w:p>
    <w:p w14:paraId="7F64409C" w14:textId="77777777" w:rsidR="006A41A6" w:rsidRPr="009B2A62" w:rsidRDefault="003B1437" w:rsidP="009B2A62">
      <w:pPr>
        <w:spacing w:after="0" w:line="480" w:lineRule="auto"/>
        <w:ind w:firstLine="720"/>
        <w:rPr>
          <w:rFonts w:ascii="Times New Roman" w:hAnsi="Times New Roman" w:cs="Times New Roman"/>
          <w:sz w:val="24"/>
          <w:szCs w:val="24"/>
        </w:rPr>
      </w:pPr>
      <w:r w:rsidRPr="009B2A62">
        <w:rPr>
          <w:rFonts w:ascii="Times New Roman" w:hAnsi="Times New Roman" w:cs="Times New Roman"/>
          <w:sz w:val="24"/>
          <w:szCs w:val="24"/>
        </w:rPr>
        <w:t>Women went through many challenges, obstacles, and barriers to become important members of the current society. Women were perceived and considered differently as members of the society for many centuries until they decided to advocate for their rights and recognition as important members of the society. Based on the emergence of feminism, the image of a woman started changing in the later 1800s. The perception of a woman as a puppet in the face of men changed with time. Women began to be recognized as important people; for instance, teachers, queen, president, and other important titles that were previously associated with the male gender only.</w:t>
      </w:r>
    </w:p>
    <w:p w14:paraId="3CD24D12" w14:textId="77777777" w:rsidR="009B2A62" w:rsidRPr="009B2A62" w:rsidRDefault="003B1437" w:rsidP="009B2A62">
      <w:pPr>
        <w:spacing w:after="0" w:line="480" w:lineRule="auto"/>
        <w:rPr>
          <w:rFonts w:ascii="Times New Roman" w:hAnsi="Times New Roman" w:cs="Times New Roman"/>
          <w:b/>
          <w:sz w:val="24"/>
          <w:szCs w:val="24"/>
        </w:rPr>
      </w:pPr>
      <w:r w:rsidRPr="009B2A62">
        <w:rPr>
          <w:rFonts w:ascii="Times New Roman" w:hAnsi="Times New Roman" w:cs="Times New Roman"/>
          <w:b/>
          <w:sz w:val="24"/>
          <w:szCs w:val="24"/>
        </w:rPr>
        <w:t xml:space="preserve">Research Questions: </w:t>
      </w:r>
    </w:p>
    <w:p w14:paraId="6AE388BF" w14:textId="77777777" w:rsidR="006A41A6" w:rsidRPr="009B2A62" w:rsidRDefault="003B1437" w:rsidP="009B2A62">
      <w:pPr>
        <w:spacing w:after="0" w:line="480" w:lineRule="auto"/>
        <w:rPr>
          <w:rFonts w:ascii="Times New Roman" w:hAnsi="Times New Roman" w:cs="Times New Roman"/>
          <w:sz w:val="24"/>
          <w:szCs w:val="24"/>
        </w:rPr>
      </w:pPr>
      <w:r w:rsidRPr="009B2A62">
        <w:rPr>
          <w:rFonts w:ascii="Times New Roman" w:hAnsi="Times New Roman" w:cs="Times New Roman"/>
          <w:sz w:val="24"/>
          <w:szCs w:val="24"/>
        </w:rPr>
        <w:t>The following questions will guide this research:</w:t>
      </w:r>
    </w:p>
    <w:p w14:paraId="36020617" w14:textId="77777777" w:rsidR="006A41A6" w:rsidRPr="009B2A62" w:rsidRDefault="003B1437" w:rsidP="009B2A62">
      <w:pPr>
        <w:spacing w:after="0" w:line="480" w:lineRule="auto"/>
        <w:ind w:firstLine="720"/>
        <w:rPr>
          <w:rFonts w:ascii="Times New Roman" w:hAnsi="Times New Roman" w:cs="Times New Roman"/>
          <w:sz w:val="24"/>
          <w:szCs w:val="24"/>
        </w:rPr>
      </w:pPr>
      <w:r w:rsidRPr="009B2A62">
        <w:rPr>
          <w:rFonts w:ascii="Times New Roman" w:hAnsi="Times New Roman" w:cs="Times New Roman"/>
          <w:sz w:val="24"/>
          <w:szCs w:val="24"/>
        </w:rPr>
        <w:t>1.)     What are the obstacles of women in the political representation?</w:t>
      </w:r>
    </w:p>
    <w:p w14:paraId="06B08031" w14:textId="77777777" w:rsidR="006A41A6" w:rsidRPr="009B2A62" w:rsidRDefault="003B1437" w:rsidP="009B2A62">
      <w:pPr>
        <w:spacing w:after="0" w:line="480" w:lineRule="auto"/>
        <w:ind w:firstLine="720"/>
        <w:rPr>
          <w:rFonts w:ascii="Times New Roman" w:hAnsi="Times New Roman" w:cs="Times New Roman"/>
          <w:sz w:val="24"/>
          <w:szCs w:val="24"/>
        </w:rPr>
      </w:pPr>
      <w:r w:rsidRPr="009B2A62">
        <w:rPr>
          <w:rFonts w:ascii="Times New Roman" w:hAnsi="Times New Roman" w:cs="Times New Roman"/>
          <w:sz w:val="24"/>
          <w:szCs w:val="24"/>
        </w:rPr>
        <w:t>2.)    What were the political impacts of the Women’s Liberation Movement in Europe</w:t>
      </w:r>
    </w:p>
    <w:p w14:paraId="3C32977E" w14:textId="15380389" w:rsidR="006A41A6" w:rsidRPr="009B2A62" w:rsidRDefault="003B1437" w:rsidP="009B2A62">
      <w:pPr>
        <w:spacing w:after="0" w:line="480" w:lineRule="auto"/>
        <w:ind w:firstLine="720"/>
        <w:rPr>
          <w:rFonts w:ascii="Times New Roman" w:hAnsi="Times New Roman" w:cs="Times New Roman"/>
          <w:sz w:val="24"/>
          <w:szCs w:val="24"/>
        </w:rPr>
      </w:pPr>
      <w:r w:rsidRPr="009B2A62">
        <w:rPr>
          <w:rFonts w:ascii="Times New Roman" w:hAnsi="Times New Roman" w:cs="Times New Roman"/>
          <w:sz w:val="24"/>
          <w:szCs w:val="24"/>
        </w:rPr>
        <w:t xml:space="preserve">3.)    What were the social implications of </w:t>
      </w:r>
      <w:r w:rsidR="00F67960">
        <w:rPr>
          <w:rFonts w:ascii="Times New Roman" w:hAnsi="Times New Roman" w:cs="Times New Roman"/>
          <w:sz w:val="24"/>
          <w:szCs w:val="24"/>
        </w:rPr>
        <w:t xml:space="preserve">the </w:t>
      </w:r>
      <w:r w:rsidRPr="009B2A62">
        <w:rPr>
          <w:rFonts w:ascii="Times New Roman" w:hAnsi="Times New Roman" w:cs="Times New Roman"/>
          <w:sz w:val="24"/>
          <w:szCs w:val="24"/>
        </w:rPr>
        <w:t>women</w:t>
      </w:r>
      <w:r w:rsidR="00F67960">
        <w:rPr>
          <w:rFonts w:ascii="Times New Roman" w:hAnsi="Times New Roman" w:cs="Times New Roman"/>
          <w:sz w:val="24"/>
          <w:szCs w:val="24"/>
        </w:rPr>
        <w:t>’</w:t>
      </w:r>
      <w:r w:rsidRPr="009B2A62">
        <w:rPr>
          <w:rFonts w:ascii="Times New Roman" w:hAnsi="Times New Roman" w:cs="Times New Roman"/>
          <w:sz w:val="24"/>
          <w:szCs w:val="24"/>
        </w:rPr>
        <w:t xml:space="preserve">s movement? </w:t>
      </w:r>
    </w:p>
    <w:p w14:paraId="7BEA7F62" w14:textId="77777777" w:rsidR="006A41A6" w:rsidRPr="009B2A62" w:rsidRDefault="003B1437" w:rsidP="009B2A62">
      <w:pPr>
        <w:spacing w:after="0" w:line="480" w:lineRule="auto"/>
        <w:ind w:firstLine="720"/>
        <w:rPr>
          <w:rFonts w:ascii="Times New Roman" w:hAnsi="Times New Roman" w:cs="Times New Roman"/>
          <w:sz w:val="24"/>
          <w:szCs w:val="24"/>
        </w:rPr>
      </w:pPr>
      <w:r w:rsidRPr="009B2A62">
        <w:rPr>
          <w:rFonts w:ascii="Times New Roman" w:hAnsi="Times New Roman" w:cs="Times New Roman"/>
          <w:sz w:val="24"/>
          <w:szCs w:val="24"/>
        </w:rPr>
        <w:t>4.)    What were the economic effects of women’s change in Europe?</w:t>
      </w:r>
    </w:p>
    <w:p w14:paraId="6E25BECC" w14:textId="77777777" w:rsidR="006A41A6" w:rsidRPr="009B2A62" w:rsidRDefault="003B1437" w:rsidP="009B2A62">
      <w:pPr>
        <w:spacing w:after="0" w:line="480" w:lineRule="auto"/>
        <w:jc w:val="center"/>
        <w:rPr>
          <w:rFonts w:ascii="Times New Roman" w:hAnsi="Times New Roman" w:cs="Times New Roman"/>
          <w:b/>
          <w:sz w:val="24"/>
          <w:szCs w:val="24"/>
        </w:rPr>
      </w:pPr>
      <w:r w:rsidRPr="009B2A62">
        <w:rPr>
          <w:rFonts w:ascii="Times New Roman" w:hAnsi="Times New Roman" w:cs="Times New Roman"/>
          <w:b/>
          <w:sz w:val="24"/>
          <w:szCs w:val="24"/>
        </w:rPr>
        <w:t>Review of Literature</w:t>
      </w:r>
    </w:p>
    <w:p w14:paraId="39157D0A" w14:textId="77777777" w:rsidR="006A41A6" w:rsidRPr="009B2A62" w:rsidRDefault="003B1437" w:rsidP="009B2A62">
      <w:pPr>
        <w:spacing w:after="0" w:line="480" w:lineRule="auto"/>
        <w:rPr>
          <w:rFonts w:ascii="Times New Roman" w:hAnsi="Times New Roman" w:cs="Times New Roman"/>
          <w:b/>
          <w:sz w:val="24"/>
          <w:szCs w:val="24"/>
        </w:rPr>
      </w:pPr>
      <w:r w:rsidRPr="009B2A62">
        <w:rPr>
          <w:rFonts w:ascii="Times New Roman" w:hAnsi="Times New Roman" w:cs="Times New Roman"/>
          <w:b/>
          <w:sz w:val="24"/>
          <w:szCs w:val="24"/>
        </w:rPr>
        <w:t xml:space="preserve">Background </w:t>
      </w:r>
    </w:p>
    <w:p w14:paraId="086AB5E3" w14:textId="77777777" w:rsidR="006A41A6" w:rsidRPr="009B2A62" w:rsidRDefault="003B1437" w:rsidP="009B2A62">
      <w:pPr>
        <w:spacing w:after="0" w:line="480" w:lineRule="auto"/>
        <w:ind w:firstLine="720"/>
        <w:rPr>
          <w:rFonts w:ascii="Times New Roman" w:hAnsi="Times New Roman" w:cs="Times New Roman"/>
          <w:sz w:val="24"/>
          <w:szCs w:val="24"/>
        </w:rPr>
      </w:pPr>
      <w:r w:rsidRPr="009B2A62">
        <w:rPr>
          <w:rFonts w:ascii="Times New Roman" w:hAnsi="Times New Roman" w:cs="Times New Roman"/>
          <w:sz w:val="24"/>
          <w:szCs w:val="24"/>
        </w:rPr>
        <w:t xml:space="preserve">Women’s movement started with the emergence of the wave theory of social development, which followed a period of remission. During this period, activists got involved in intense mobilization of the systematically marginalized and isolated gender, women. Taylor, in “Social Movement Continuity,” explains that after the extended period of fighting for the women’s suffrage, activists divided, which led to the creation of numerous women’s activist </w:t>
      </w:r>
      <w:r w:rsidRPr="009B2A62">
        <w:rPr>
          <w:rFonts w:ascii="Times New Roman" w:hAnsi="Times New Roman" w:cs="Times New Roman"/>
          <w:sz w:val="24"/>
          <w:szCs w:val="24"/>
        </w:rPr>
        <w:lastRenderedPageBreak/>
        <w:t>organizations.</w:t>
      </w:r>
      <w:r>
        <w:rPr>
          <w:rStyle w:val="FootnoteReference"/>
          <w:rFonts w:ascii="Times New Roman" w:hAnsi="Times New Roman" w:cs="Times New Roman"/>
          <w:sz w:val="24"/>
          <w:szCs w:val="24"/>
        </w:rPr>
        <w:footnoteReference w:id="1"/>
      </w:r>
      <w:r w:rsidRPr="009B2A62">
        <w:rPr>
          <w:rFonts w:ascii="Times New Roman" w:hAnsi="Times New Roman" w:cs="Times New Roman"/>
          <w:sz w:val="24"/>
          <w:szCs w:val="24"/>
        </w:rPr>
        <w:t xml:space="preserve"> For example, African National Congress Women’s League, The Irish Housewives Association, League of Women Voters, Townswomen’s Guilds and Women’s Institutes were created after a split in the ideological difference that initially united the women’s</w:t>
      </w:r>
      <w:r w:rsidR="00A03EC4" w:rsidRPr="009B2A62">
        <w:rPr>
          <w:rFonts w:ascii="Times New Roman" w:hAnsi="Times New Roman" w:cs="Times New Roman"/>
          <w:sz w:val="24"/>
          <w:szCs w:val="24"/>
        </w:rPr>
        <w:t xml:space="preserve"> movement activists</w:t>
      </w:r>
      <w:r w:rsidRPr="009B2A62">
        <w:rPr>
          <w:rFonts w:ascii="Times New Roman" w:hAnsi="Times New Roman" w:cs="Times New Roman"/>
          <w:sz w:val="24"/>
          <w:szCs w:val="24"/>
        </w:rPr>
        <w:t>.</w:t>
      </w:r>
      <w:r>
        <w:rPr>
          <w:rStyle w:val="FootnoteReference"/>
          <w:rFonts w:ascii="Times New Roman" w:hAnsi="Times New Roman" w:cs="Times New Roman"/>
          <w:sz w:val="24"/>
          <w:szCs w:val="24"/>
        </w:rPr>
        <w:footnoteReference w:id="2"/>
      </w:r>
      <w:r w:rsidRPr="009B2A62">
        <w:rPr>
          <w:rFonts w:ascii="Times New Roman" w:hAnsi="Times New Roman" w:cs="Times New Roman"/>
          <w:sz w:val="24"/>
          <w:szCs w:val="24"/>
        </w:rPr>
        <w:t xml:space="preserve"> </w:t>
      </w:r>
    </w:p>
    <w:p w14:paraId="7DCE77F4" w14:textId="77777777" w:rsidR="006A41A6" w:rsidRPr="009B2A62" w:rsidRDefault="003B1437" w:rsidP="009B2A62">
      <w:pPr>
        <w:spacing w:after="0" w:line="480" w:lineRule="auto"/>
        <w:ind w:firstLine="720"/>
        <w:rPr>
          <w:rFonts w:ascii="Times New Roman" w:hAnsi="Times New Roman" w:cs="Times New Roman"/>
          <w:sz w:val="24"/>
          <w:szCs w:val="24"/>
        </w:rPr>
      </w:pPr>
      <w:r w:rsidRPr="009B2A62">
        <w:rPr>
          <w:rFonts w:ascii="Times New Roman" w:hAnsi="Times New Roman" w:cs="Times New Roman"/>
          <w:sz w:val="24"/>
          <w:szCs w:val="24"/>
        </w:rPr>
        <w:t>Women faced many obstacles before they could become recognized as the modern woman. Cook in “Women’s Movement-The Women’s Liberation Movement,” explains how the law did not protect women despite facing numerous challenges and discrimination from their male counterparts. According to the author, seeing that they were not included in the judicial system, married women from the countries founded by the British colonial system decided to advocate for their inclusion in the English legal code, which aimed at protecting them from their husbands.</w:t>
      </w:r>
      <w:r>
        <w:rPr>
          <w:rStyle w:val="FootnoteReference"/>
          <w:rFonts w:ascii="Times New Roman" w:hAnsi="Times New Roman" w:cs="Times New Roman"/>
          <w:sz w:val="24"/>
          <w:szCs w:val="24"/>
        </w:rPr>
        <w:footnoteReference w:id="3"/>
      </w:r>
      <w:r w:rsidRPr="009B2A62">
        <w:rPr>
          <w:rFonts w:ascii="Times New Roman" w:hAnsi="Times New Roman" w:cs="Times New Roman"/>
          <w:sz w:val="24"/>
          <w:szCs w:val="24"/>
        </w:rPr>
        <w:t xml:space="preserve"> Initially, the law never considered marital rape as a significant judicial issue. As Cook explains, women could be raped or forcefully involved in sexual intercourse with their husbands on the men’s request.</w:t>
      </w:r>
      <w:r>
        <w:rPr>
          <w:rStyle w:val="FootnoteReference"/>
          <w:rFonts w:ascii="Times New Roman" w:hAnsi="Times New Roman" w:cs="Times New Roman"/>
          <w:sz w:val="24"/>
          <w:szCs w:val="24"/>
        </w:rPr>
        <w:footnoteReference w:id="4"/>
      </w:r>
      <w:r w:rsidRPr="009B2A62">
        <w:rPr>
          <w:rFonts w:ascii="Times New Roman" w:hAnsi="Times New Roman" w:cs="Times New Roman"/>
          <w:sz w:val="24"/>
          <w:szCs w:val="24"/>
        </w:rPr>
        <w:t xml:space="preserve"> Despite joining the workforce and becoming more educated, many women remained with their home responsibilities, which never changed until the emergence of the Women’s Liberation Movement. </w:t>
      </w:r>
      <w:r w:rsidR="00A03EC4" w:rsidRPr="009B2A62">
        <w:rPr>
          <w:rFonts w:ascii="Times New Roman" w:hAnsi="Times New Roman" w:cs="Times New Roman"/>
          <w:sz w:val="24"/>
          <w:szCs w:val="24"/>
        </w:rPr>
        <w:t xml:space="preserve">Schulz </w:t>
      </w:r>
      <w:r w:rsidRPr="009B2A62">
        <w:rPr>
          <w:rFonts w:ascii="Times New Roman" w:hAnsi="Times New Roman" w:cs="Times New Roman"/>
          <w:sz w:val="24"/>
          <w:szCs w:val="24"/>
        </w:rPr>
        <w:t>explains that women carried most domestic responsibilities until the Women’s Liberation Movement emerged when the idea of challenging sexism and other discriminations against women were accepted.</w:t>
      </w:r>
      <w:r>
        <w:rPr>
          <w:rStyle w:val="FootnoteReference"/>
          <w:rFonts w:ascii="Times New Roman" w:hAnsi="Times New Roman" w:cs="Times New Roman"/>
          <w:sz w:val="24"/>
          <w:szCs w:val="24"/>
        </w:rPr>
        <w:footnoteReference w:id="5"/>
      </w:r>
      <w:r w:rsidRPr="009B2A62">
        <w:rPr>
          <w:rFonts w:ascii="Times New Roman" w:hAnsi="Times New Roman" w:cs="Times New Roman"/>
          <w:sz w:val="24"/>
          <w:szCs w:val="24"/>
        </w:rPr>
        <w:t xml:space="preserve"> After this movement, many issues started to emerge that changed the role and ima</w:t>
      </w:r>
      <w:r w:rsidR="00A03EC4" w:rsidRPr="009B2A62">
        <w:rPr>
          <w:rFonts w:ascii="Times New Roman" w:hAnsi="Times New Roman" w:cs="Times New Roman"/>
          <w:sz w:val="24"/>
          <w:szCs w:val="24"/>
        </w:rPr>
        <w:t>ge of women in the society. Maga</w:t>
      </w:r>
      <w:r w:rsidRPr="009B2A62">
        <w:rPr>
          <w:rFonts w:ascii="Times New Roman" w:hAnsi="Times New Roman" w:cs="Times New Roman"/>
          <w:sz w:val="24"/>
          <w:szCs w:val="24"/>
        </w:rPr>
        <w:t>r</w:t>
      </w:r>
      <w:r w:rsidR="00A03EC4" w:rsidRPr="009B2A62">
        <w:rPr>
          <w:rFonts w:ascii="Times New Roman" w:hAnsi="Times New Roman" w:cs="Times New Roman"/>
          <w:sz w:val="24"/>
          <w:szCs w:val="24"/>
        </w:rPr>
        <w:t>e</w:t>
      </w:r>
      <w:r w:rsidRPr="009B2A62">
        <w:rPr>
          <w:rFonts w:ascii="Times New Roman" w:hAnsi="Times New Roman" w:cs="Times New Roman"/>
          <w:sz w:val="24"/>
          <w:szCs w:val="24"/>
        </w:rPr>
        <w:t xml:space="preserve">y argues that the development and distribution of birth control pills emerged </w:t>
      </w:r>
      <w:r w:rsidRPr="009B2A62">
        <w:rPr>
          <w:rFonts w:ascii="Times New Roman" w:hAnsi="Times New Roman" w:cs="Times New Roman"/>
          <w:sz w:val="24"/>
          <w:szCs w:val="24"/>
        </w:rPr>
        <w:lastRenderedPageBreak/>
        <w:t>later, which created a climate where women started to question and challenge the authorities that they did not question there before.</w:t>
      </w:r>
      <w:r>
        <w:rPr>
          <w:rStyle w:val="FootnoteReference"/>
          <w:rFonts w:ascii="Times New Roman" w:hAnsi="Times New Roman" w:cs="Times New Roman"/>
          <w:sz w:val="24"/>
          <w:szCs w:val="24"/>
        </w:rPr>
        <w:footnoteReference w:id="6"/>
      </w:r>
      <w:r w:rsidRPr="009B2A62">
        <w:rPr>
          <w:rFonts w:ascii="Times New Roman" w:hAnsi="Times New Roman" w:cs="Times New Roman"/>
          <w:sz w:val="24"/>
          <w:szCs w:val="24"/>
        </w:rPr>
        <w:t xml:space="preserve"> Other women wielded over their choices regarding their bodies and morality, something that did not</w:t>
      </w:r>
      <w:r w:rsidR="00A03EC4" w:rsidRPr="009B2A62">
        <w:rPr>
          <w:rFonts w:ascii="Times New Roman" w:hAnsi="Times New Roman" w:cs="Times New Roman"/>
          <w:sz w:val="24"/>
          <w:szCs w:val="24"/>
        </w:rPr>
        <w:t xml:space="preserve"> exist there before</w:t>
      </w:r>
      <w:r w:rsidRPr="009B2A62">
        <w:rPr>
          <w:rFonts w:ascii="Times New Roman" w:hAnsi="Times New Roman" w:cs="Times New Roman"/>
          <w:sz w:val="24"/>
          <w:szCs w:val="24"/>
        </w:rPr>
        <w:t>.</w:t>
      </w:r>
      <w:r>
        <w:rPr>
          <w:rStyle w:val="FootnoteReference"/>
          <w:rFonts w:ascii="Times New Roman" w:hAnsi="Times New Roman" w:cs="Times New Roman"/>
          <w:sz w:val="24"/>
          <w:szCs w:val="24"/>
        </w:rPr>
        <w:footnoteReference w:id="7"/>
      </w:r>
    </w:p>
    <w:p w14:paraId="7D7F7FB5" w14:textId="77777777" w:rsidR="006A41A6" w:rsidRPr="009B2A62" w:rsidRDefault="003B1437" w:rsidP="009B2A62">
      <w:pPr>
        <w:spacing w:after="0" w:line="480" w:lineRule="auto"/>
        <w:ind w:firstLine="720"/>
        <w:rPr>
          <w:rFonts w:ascii="Times New Roman" w:hAnsi="Times New Roman" w:cs="Times New Roman"/>
          <w:sz w:val="24"/>
          <w:szCs w:val="24"/>
        </w:rPr>
      </w:pPr>
      <w:r w:rsidRPr="009B2A62">
        <w:rPr>
          <w:rFonts w:ascii="Times New Roman" w:hAnsi="Times New Roman" w:cs="Times New Roman"/>
          <w:sz w:val="24"/>
          <w:szCs w:val="24"/>
        </w:rPr>
        <w:t>Further, many women who participated who took part in the Liberation Movement became aligned with the leftist's politics. After 1960, after the Second World War and upon the arrival of the Cold War, women who participated in the Women’s Liberation took the inspiration from other social theories such as the Maoist theory. Some of the slogans that were used to advocate for women’s rights such as “workers of the world unite” from the Maoist theory turned out to be the women’s liberation movement slogans. The slogan changed into “women of the world unite” and created a new consciousness among the women in Europe.</w:t>
      </w:r>
      <w:r>
        <w:rPr>
          <w:rStyle w:val="FootnoteReference"/>
          <w:rFonts w:ascii="Times New Roman" w:hAnsi="Times New Roman" w:cs="Times New Roman"/>
          <w:sz w:val="24"/>
          <w:szCs w:val="24"/>
        </w:rPr>
        <w:footnoteReference w:id="8"/>
      </w:r>
      <w:r w:rsidRPr="009B2A62">
        <w:rPr>
          <w:rFonts w:ascii="Times New Roman" w:hAnsi="Times New Roman" w:cs="Times New Roman"/>
          <w:sz w:val="24"/>
          <w:szCs w:val="24"/>
        </w:rPr>
        <w:t xml:space="preserve"> New egalitarian consensus-based policies emerged from other continents; for example, the inspiration of the same techniques used in China created a new awareness towards fighting for women’s rights and liberation after th</w:t>
      </w:r>
      <w:r w:rsidR="000A2C4B" w:rsidRPr="009B2A62">
        <w:rPr>
          <w:rFonts w:ascii="Times New Roman" w:hAnsi="Times New Roman" w:cs="Times New Roman"/>
          <w:sz w:val="24"/>
          <w:szCs w:val="24"/>
        </w:rPr>
        <w:t>e 1960s</w:t>
      </w:r>
      <w:r w:rsidRPr="009B2A62">
        <w:rPr>
          <w:rFonts w:ascii="Times New Roman" w:hAnsi="Times New Roman" w:cs="Times New Roman"/>
          <w:sz w:val="24"/>
          <w:szCs w:val="24"/>
        </w:rPr>
        <w:t>.</w:t>
      </w:r>
      <w:r>
        <w:rPr>
          <w:rStyle w:val="FootnoteReference"/>
          <w:rFonts w:ascii="Times New Roman" w:hAnsi="Times New Roman" w:cs="Times New Roman"/>
          <w:sz w:val="24"/>
          <w:szCs w:val="24"/>
        </w:rPr>
        <w:footnoteReference w:id="9"/>
      </w:r>
      <w:r w:rsidRPr="009B2A62">
        <w:rPr>
          <w:rFonts w:ascii="Times New Roman" w:hAnsi="Times New Roman" w:cs="Times New Roman"/>
          <w:sz w:val="24"/>
          <w:szCs w:val="24"/>
        </w:rPr>
        <w:t xml:space="preserve">  </w:t>
      </w:r>
    </w:p>
    <w:p w14:paraId="2D78E77E" w14:textId="77777777" w:rsidR="006A41A6" w:rsidRPr="009B2A62" w:rsidRDefault="003B1437" w:rsidP="009B2A62">
      <w:pPr>
        <w:spacing w:after="0" w:line="480" w:lineRule="auto"/>
        <w:ind w:firstLine="720"/>
        <w:rPr>
          <w:rFonts w:ascii="Times New Roman" w:hAnsi="Times New Roman" w:cs="Times New Roman"/>
          <w:sz w:val="24"/>
          <w:szCs w:val="24"/>
        </w:rPr>
      </w:pPr>
      <w:r w:rsidRPr="009B2A62">
        <w:rPr>
          <w:rFonts w:ascii="Times New Roman" w:hAnsi="Times New Roman" w:cs="Times New Roman"/>
          <w:sz w:val="24"/>
          <w:szCs w:val="24"/>
        </w:rPr>
        <w:t>Other feminists emerged in the early 1900s, who also contributed to the development of Women’s Liberation Movement across Europe and America. Bergoffen in “The Stanford Encyclopedia of Philosophy of Simone de Beauvoir” explains how Simone de Beauvoir contributed to the Women’s Liberation Movement through her writings.</w:t>
      </w:r>
      <w:r>
        <w:rPr>
          <w:rStyle w:val="FootnoteReference"/>
          <w:rFonts w:ascii="Times New Roman" w:hAnsi="Times New Roman" w:cs="Times New Roman"/>
          <w:sz w:val="24"/>
          <w:szCs w:val="24"/>
        </w:rPr>
        <w:footnoteReference w:id="10"/>
      </w:r>
      <w:r w:rsidRPr="009B2A62">
        <w:rPr>
          <w:rFonts w:ascii="Times New Roman" w:hAnsi="Times New Roman" w:cs="Times New Roman"/>
          <w:sz w:val="24"/>
          <w:szCs w:val="24"/>
        </w:rPr>
        <w:t xml:space="preserve"> The publication of Beauvoir “the Second Sex” in 1949 created an awareness to treat women equally.</w:t>
      </w:r>
      <w:r>
        <w:rPr>
          <w:rStyle w:val="FootnoteReference"/>
          <w:rFonts w:ascii="Times New Roman" w:hAnsi="Times New Roman" w:cs="Times New Roman"/>
          <w:sz w:val="24"/>
          <w:szCs w:val="24"/>
        </w:rPr>
        <w:footnoteReference w:id="11"/>
      </w:r>
      <w:r w:rsidRPr="009B2A62">
        <w:rPr>
          <w:rFonts w:ascii="Times New Roman" w:hAnsi="Times New Roman" w:cs="Times New Roman"/>
          <w:sz w:val="24"/>
          <w:szCs w:val="24"/>
        </w:rPr>
        <w:t xml:space="preserve"> Bergoffen explains that the publication advocated for women empowerment.</w:t>
      </w:r>
      <w:r>
        <w:rPr>
          <w:rStyle w:val="FootnoteReference"/>
          <w:rFonts w:ascii="Times New Roman" w:hAnsi="Times New Roman" w:cs="Times New Roman"/>
          <w:sz w:val="24"/>
          <w:szCs w:val="24"/>
        </w:rPr>
        <w:footnoteReference w:id="12"/>
      </w:r>
      <w:r w:rsidRPr="009B2A62">
        <w:rPr>
          <w:rFonts w:ascii="Times New Roman" w:hAnsi="Times New Roman" w:cs="Times New Roman"/>
          <w:sz w:val="24"/>
          <w:szCs w:val="24"/>
        </w:rPr>
        <w:t xml:space="preserve"> Butler uses one of de </w:t>
      </w:r>
      <w:r w:rsidRPr="009B2A62">
        <w:rPr>
          <w:rFonts w:ascii="Times New Roman" w:hAnsi="Times New Roman" w:cs="Times New Roman"/>
          <w:sz w:val="24"/>
          <w:szCs w:val="24"/>
        </w:rPr>
        <w:lastRenderedPageBreak/>
        <w:t>Beauvoir’s famous statement that “one is not born, but rather becomes a woman” to explain some of the ways that Beauvoir’s writing helped change the perception towards women and liberation of the female gender from a popularly male-dominated society.</w:t>
      </w:r>
      <w:r>
        <w:rPr>
          <w:rStyle w:val="FootnoteReference"/>
          <w:rFonts w:ascii="Times New Roman" w:hAnsi="Times New Roman" w:cs="Times New Roman"/>
          <w:sz w:val="24"/>
          <w:szCs w:val="24"/>
        </w:rPr>
        <w:footnoteReference w:id="13"/>
      </w:r>
      <w:r w:rsidRPr="009B2A62">
        <w:rPr>
          <w:rFonts w:ascii="Times New Roman" w:hAnsi="Times New Roman" w:cs="Times New Roman"/>
          <w:sz w:val="24"/>
          <w:szCs w:val="24"/>
        </w:rPr>
        <w:t xml:space="preserve"> </w:t>
      </w:r>
    </w:p>
    <w:p w14:paraId="238031A5" w14:textId="1CA8D2BD" w:rsidR="006A41A6" w:rsidRPr="009B2A62" w:rsidRDefault="003B1437" w:rsidP="009B2A62">
      <w:pPr>
        <w:spacing w:after="0" w:line="480" w:lineRule="auto"/>
        <w:ind w:firstLine="720"/>
        <w:rPr>
          <w:rFonts w:ascii="Times New Roman" w:hAnsi="Times New Roman" w:cs="Times New Roman"/>
          <w:sz w:val="24"/>
          <w:szCs w:val="24"/>
        </w:rPr>
      </w:pPr>
      <w:r w:rsidRPr="009B2A62">
        <w:rPr>
          <w:rFonts w:ascii="Times New Roman" w:hAnsi="Times New Roman" w:cs="Times New Roman"/>
          <w:sz w:val="24"/>
          <w:szCs w:val="24"/>
        </w:rPr>
        <w:t>After an extended period of discrimination and suffering, women in Europe today play a vital role in the region’s politics, economic growth and development, and social areas such as education. Ghorfati and Rabha in their study, “Feminism and its Impacts on women in the modern society” explain how the image of a woman has changed in the past years.</w:t>
      </w:r>
      <w:r>
        <w:rPr>
          <w:rStyle w:val="FootnoteReference"/>
          <w:rFonts w:ascii="Times New Roman" w:hAnsi="Times New Roman" w:cs="Times New Roman"/>
          <w:sz w:val="24"/>
          <w:szCs w:val="24"/>
        </w:rPr>
        <w:footnoteReference w:id="14"/>
      </w:r>
      <w:r w:rsidRPr="009B2A62">
        <w:rPr>
          <w:rFonts w:ascii="Times New Roman" w:hAnsi="Times New Roman" w:cs="Times New Roman"/>
          <w:sz w:val="24"/>
          <w:szCs w:val="24"/>
        </w:rPr>
        <w:t xml:space="preserve"> According to the authors, the role of women has changed; women are considered politicians, socialists, and economists, something that did not exist in the late 1800s and there before.</w:t>
      </w:r>
      <w:r>
        <w:rPr>
          <w:rStyle w:val="FootnoteReference"/>
          <w:rFonts w:ascii="Times New Roman" w:hAnsi="Times New Roman" w:cs="Times New Roman"/>
          <w:sz w:val="24"/>
          <w:szCs w:val="24"/>
        </w:rPr>
        <w:footnoteReference w:id="15"/>
      </w:r>
      <w:r w:rsidRPr="009B2A62">
        <w:rPr>
          <w:rFonts w:ascii="Times New Roman" w:hAnsi="Times New Roman" w:cs="Times New Roman"/>
          <w:sz w:val="24"/>
          <w:szCs w:val="24"/>
        </w:rPr>
        <w:t xml:space="preserve"> Schulz in “The Women’s Liberation Movement” examines the impacts and outcomes of the women’s liberation on the Western societies.</w:t>
      </w:r>
      <w:r>
        <w:rPr>
          <w:rStyle w:val="FootnoteReference"/>
          <w:rFonts w:ascii="Times New Roman" w:hAnsi="Times New Roman" w:cs="Times New Roman"/>
          <w:sz w:val="24"/>
          <w:szCs w:val="24"/>
        </w:rPr>
        <w:footnoteReference w:id="16"/>
      </w:r>
      <w:r w:rsidRPr="009B2A62">
        <w:rPr>
          <w:rFonts w:ascii="Times New Roman" w:hAnsi="Times New Roman" w:cs="Times New Roman"/>
          <w:sz w:val="24"/>
          <w:szCs w:val="24"/>
        </w:rPr>
        <w:t xml:space="preserve"> According to the author, women are today engaged and involved in different activities. Women are found in public institutions and cultural productions, politics and </w:t>
      </w:r>
      <w:r w:rsidR="00F67960" w:rsidRPr="009B2A62">
        <w:rPr>
          <w:rFonts w:ascii="Times New Roman" w:hAnsi="Times New Roman" w:cs="Times New Roman"/>
          <w:sz w:val="24"/>
          <w:szCs w:val="24"/>
        </w:rPr>
        <w:t>activists’</w:t>
      </w:r>
      <w:r w:rsidRPr="009B2A62">
        <w:rPr>
          <w:rFonts w:ascii="Times New Roman" w:hAnsi="Times New Roman" w:cs="Times New Roman"/>
          <w:sz w:val="24"/>
          <w:szCs w:val="24"/>
        </w:rPr>
        <w:t xml:space="preserve"> movements.</w:t>
      </w:r>
      <w:r>
        <w:rPr>
          <w:rStyle w:val="FootnoteReference"/>
          <w:rFonts w:ascii="Times New Roman" w:hAnsi="Times New Roman" w:cs="Times New Roman"/>
          <w:sz w:val="24"/>
          <w:szCs w:val="24"/>
        </w:rPr>
        <w:footnoteReference w:id="17"/>
      </w:r>
      <w:r w:rsidRPr="009B2A62">
        <w:rPr>
          <w:rFonts w:ascii="Times New Roman" w:hAnsi="Times New Roman" w:cs="Times New Roman"/>
          <w:sz w:val="24"/>
          <w:szCs w:val="24"/>
        </w:rPr>
        <w:t xml:space="preserve"> Schulz’s text presents the cumulative impacts and achievements of the Women’s Liberation Movement in the Western societies.</w:t>
      </w:r>
      <w:r>
        <w:rPr>
          <w:rStyle w:val="FootnoteReference"/>
          <w:rFonts w:ascii="Times New Roman" w:hAnsi="Times New Roman" w:cs="Times New Roman"/>
          <w:sz w:val="24"/>
          <w:szCs w:val="24"/>
        </w:rPr>
        <w:footnoteReference w:id="18"/>
      </w:r>
      <w:r w:rsidRPr="009B2A62">
        <w:rPr>
          <w:rFonts w:ascii="Times New Roman" w:hAnsi="Times New Roman" w:cs="Times New Roman"/>
          <w:sz w:val="24"/>
          <w:szCs w:val="24"/>
        </w:rPr>
        <w:t xml:space="preserve"> </w:t>
      </w:r>
    </w:p>
    <w:p w14:paraId="5064DCF4" w14:textId="77777777" w:rsidR="006A41A6" w:rsidRPr="009B2A62" w:rsidRDefault="003B1437" w:rsidP="009B2A62">
      <w:pPr>
        <w:spacing w:after="0" w:line="480" w:lineRule="auto"/>
        <w:jc w:val="center"/>
        <w:rPr>
          <w:rFonts w:ascii="Times New Roman" w:hAnsi="Times New Roman" w:cs="Times New Roman"/>
          <w:b/>
          <w:sz w:val="24"/>
          <w:szCs w:val="24"/>
        </w:rPr>
      </w:pPr>
      <w:r w:rsidRPr="009B2A62">
        <w:rPr>
          <w:rFonts w:ascii="Times New Roman" w:hAnsi="Times New Roman" w:cs="Times New Roman"/>
          <w:b/>
          <w:sz w:val="24"/>
          <w:szCs w:val="24"/>
        </w:rPr>
        <w:t>Methodology</w:t>
      </w:r>
    </w:p>
    <w:p w14:paraId="487D6D42" w14:textId="77777777" w:rsidR="006A41A6" w:rsidRPr="009B2A62" w:rsidRDefault="003B1437" w:rsidP="009B2A62">
      <w:pPr>
        <w:spacing w:after="0" w:line="480" w:lineRule="auto"/>
        <w:ind w:firstLine="720"/>
        <w:rPr>
          <w:rFonts w:ascii="Times New Roman" w:hAnsi="Times New Roman" w:cs="Times New Roman"/>
          <w:sz w:val="24"/>
          <w:szCs w:val="24"/>
        </w:rPr>
      </w:pPr>
      <w:r w:rsidRPr="009B2A62">
        <w:rPr>
          <w:rFonts w:ascii="Times New Roman" w:hAnsi="Times New Roman" w:cs="Times New Roman"/>
          <w:sz w:val="24"/>
          <w:szCs w:val="24"/>
        </w:rPr>
        <w:t xml:space="preserve">This research </w:t>
      </w:r>
      <w:r w:rsidR="00B0629D">
        <w:rPr>
          <w:rFonts w:ascii="Times New Roman" w:hAnsi="Times New Roman" w:cs="Times New Roman"/>
          <w:sz w:val="24"/>
          <w:szCs w:val="24"/>
        </w:rPr>
        <w:t>will adopt</w:t>
      </w:r>
      <w:r w:rsidRPr="009B2A62">
        <w:rPr>
          <w:rFonts w:ascii="Times New Roman" w:hAnsi="Times New Roman" w:cs="Times New Roman"/>
          <w:sz w:val="24"/>
          <w:szCs w:val="24"/>
        </w:rPr>
        <w:t xml:space="preserve"> a secondary data collection approach, in which the author will search for secondary materials from the internet and school library website. The study will adopt a systematic literature review of the secondary research materials. A total of 13 secondary materials will be reviewed. This includes the five primary materials such as textbooks and peer-</w:t>
      </w:r>
      <w:r w:rsidRPr="009B2A62">
        <w:rPr>
          <w:rFonts w:ascii="Times New Roman" w:hAnsi="Times New Roman" w:cs="Times New Roman"/>
          <w:sz w:val="24"/>
          <w:szCs w:val="24"/>
        </w:rPr>
        <w:lastRenderedPageBreak/>
        <w:t xml:space="preserve">reviewed </w:t>
      </w:r>
      <w:r w:rsidR="00B0629D">
        <w:rPr>
          <w:rFonts w:ascii="Times New Roman" w:hAnsi="Times New Roman" w:cs="Times New Roman"/>
          <w:sz w:val="24"/>
          <w:szCs w:val="24"/>
        </w:rPr>
        <w:t>journal</w:t>
      </w:r>
      <w:r w:rsidRPr="009B2A62">
        <w:rPr>
          <w:rFonts w:ascii="Times New Roman" w:hAnsi="Times New Roman" w:cs="Times New Roman"/>
          <w:sz w:val="24"/>
          <w:szCs w:val="24"/>
        </w:rPr>
        <w:t xml:space="preserve"> </w:t>
      </w:r>
      <w:r w:rsidR="00B0629D">
        <w:rPr>
          <w:rFonts w:ascii="Times New Roman" w:hAnsi="Times New Roman" w:cs="Times New Roman"/>
          <w:sz w:val="24"/>
          <w:szCs w:val="24"/>
        </w:rPr>
        <w:t>articles</w:t>
      </w:r>
      <w:r w:rsidRPr="009B2A62">
        <w:rPr>
          <w:rFonts w:ascii="Times New Roman" w:hAnsi="Times New Roman" w:cs="Times New Roman"/>
          <w:sz w:val="24"/>
          <w:szCs w:val="24"/>
        </w:rPr>
        <w:t xml:space="preserve">, and 8 secondary materials such as websites, government documents, and reports, and reviewed article journals. The inclusion criteria for the materials will include: First, the content must involve discussion of the topic, which is the impacts of women’s liberation movement. Secondly, the secondary articles must have been published in the last ten years. This period is excluded for the primary sources, which provided the background and historical analysis of the women’s liberation movement in the late 1800 and early 1900s. </w:t>
      </w:r>
    </w:p>
    <w:p w14:paraId="0ED5570B" w14:textId="77777777" w:rsidR="006A41A6" w:rsidRPr="009B2A62" w:rsidRDefault="003B1437" w:rsidP="009B2A62">
      <w:pPr>
        <w:spacing w:after="0" w:line="480" w:lineRule="auto"/>
        <w:ind w:firstLine="720"/>
        <w:rPr>
          <w:rFonts w:ascii="Times New Roman" w:hAnsi="Times New Roman" w:cs="Times New Roman"/>
          <w:sz w:val="24"/>
          <w:szCs w:val="24"/>
        </w:rPr>
      </w:pPr>
      <w:r w:rsidRPr="009B2A62">
        <w:rPr>
          <w:rFonts w:ascii="Times New Roman" w:hAnsi="Times New Roman" w:cs="Times New Roman"/>
          <w:sz w:val="24"/>
          <w:szCs w:val="24"/>
        </w:rPr>
        <w:t>The materials selected for this research will be obtained from the Google Search engine</w:t>
      </w:r>
      <w:r w:rsidR="00B0629D">
        <w:rPr>
          <w:rFonts w:ascii="Times New Roman" w:hAnsi="Times New Roman" w:cs="Times New Roman"/>
          <w:sz w:val="24"/>
          <w:szCs w:val="24"/>
        </w:rPr>
        <w:t xml:space="preserve"> as well as Google Scholar which is a database of scholarly materials</w:t>
      </w:r>
      <w:r w:rsidRPr="009B2A62">
        <w:rPr>
          <w:rFonts w:ascii="Times New Roman" w:hAnsi="Times New Roman" w:cs="Times New Roman"/>
          <w:sz w:val="24"/>
          <w:szCs w:val="24"/>
        </w:rPr>
        <w:t xml:space="preserve">. The following headwords will serve as the basis for this research; “women’s liberation movement, impacts and outcomes, political, social, and economic influence, and Europe.” The selected materials will be systematically reviewed to answer the research questions listed in the introduction of this proposal. Each of the primary sources will be systematically reviewed with the assistance of the secondary sources. </w:t>
      </w:r>
    </w:p>
    <w:p w14:paraId="29790136" w14:textId="77777777" w:rsidR="006A41A6" w:rsidRPr="009B2A62" w:rsidRDefault="003B1437" w:rsidP="009B2A62">
      <w:pPr>
        <w:spacing w:after="0" w:line="480" w:lineRule="auto"/>
        <w:jc w:val="center"/>
        <w:rPr>
          <w:rFonts w:ascii="Times New Roman" w:hAnsi="Times New Roman" w:cs="Times New Roman"/>
          <w:b/>
          <w:sz w:val="24"/>
          <w:szCs w:val="24"/>
        </w:rPr>
      </w:pPr>
      <w:r w:rsidRPr="009B2A62">
        <w:rPr>
          <w:rFonts w:ascii="Times New Roman" w:hAnsi="Times New Roman" w:cs="Times New Roman"/>
          <w:b/>
          <w:sz w:val="24"/>
          <w:szCs w:val="24"/>
        </w:rPr>
        <w:t>Results</w:t>
      </w:r>
    </w:p>
    <w:p w14:paraId="223041A5" w14:textId="77777777" w:rsidR="006A41A6" w:rsidRPr="009B2A62" w:rsidRDefault="003B1437" w:rsidP="009B2A62">
      <w:pPr>
        <w:spacing w:after="0" w:line="480" w:lineRule="auto"/>
        <w:ind w:firstLine="720"/>
        <w:rPr>
          <w:rFonts w:ascii="Times New Roman" w:hAnsi="Times New Roman" w:cs="Times New Roman"/>
          <w:sz w:val="24"/>
          <w:szCs w:val="24"/>
        </w:rPr>
      </w:pPr>
      <w:r w:rsidRPr="009B2A62">
        <w:rPr>
          <w:rFonts w:ascii="Times New Roman" w:hAnsi="Times New Roman" w:cs="Times New Roman"/>
          <w:sz w:val="24"/>
          <w:szCs w:val="24"/>
        </w:rPr>
        <w:t>Schulz in her book “The Women’s Liberation Movement” examines the outcomes and impacts of the women’s liberation. She presents cumulative impacts and achievements of women’s liberation within the Western societies. She examines the political changes in some of the European countries like Switzerland in the 1970s and 80s.</w:t>
      </w:r>
      <w:r>
        <w:rPr>
          <w:rStyle w:val="FootnoteReference"/>
          <w:rFonts w:ascii="Times New Roman" w:hAnsi="Times New Roman" w:cs="Times New Roman"/>
          <w:sz w:val="24"/>
          <w:szCs w:val="24"/>
        </w:rPr>
        <w:footnoteReference w:id="19"/>
      </w:r>
      <w:r w:rsidRPr="009B2A62">
        <w:rPr>
          <w:rFonts w:ascii="Times New Roman" w:hAnsi="Times New Roman" w:cs="Times New Roman"/>
          <w:sz w:val="24"/>
          <w:szCs w:val="24"/>
        </w:rPr>
        <w:t xml:space="preserve"> She also examines the Beauvoir’s contribution, literacy practices and self-discovery of women in Europe. Haines examines how the early women such as Marianne were used by the women’s liberation movement activists in the French Women’s Liberation Movement to influence the public </w:t>
      </w:r>
      <w:r w:rsidRPr="009B2A62">
        <w:rPr>
          <w:rFonts w:ascii="Times New Roman" w:hAnsi="Times New Roman" w:cs="Times New Roman"/>
          <w:sz w:val="24"/>
          <w:szCs w:val="24"/>
        </w:rPr>
        <w:lastRenderedPageBreak/>
        <w:t>regarding the oppression and status of women in the society.</w:t>
      </w:r>
      <w:r>
        <w:rPr>
          <w:rStyle w:val="FootnoteReference"/>
          <w:rFonts w:ascii="Times New Roman" w:hAnsi="Times New Roman" w:cs="Times New Roman"/>
          <w:sz w:val="24"/>
          <w:szCs w:val="24"/>
        </w:rPr>
        <w:footnoteReference w:id="20"/>
      </w:r>
      <w:r w:rsidRPr="009B2A62">
        <w:rPr>
          <w:rFonts w:ascii="Times New Roman" w:hAnsi="Times New Roman" w:cs="Times New Roman"/>
          <w:sz w:val="24"/>
          <w:szCs w:val="24"/>
        </w:rPr>
        <w:t xml:space="preserve"> Bargoffen, in her analysis "The Stanford Encyclopedia of Philosophy of Simone de Beauvoir", explains the contribution of Simone de Beauvoir in the women's liberat</w:t>
      </w:r>
      <w:r w:rsidR="000A2C4B" w:rsidRPr="009B2A62">
        <w:rPr>
          <w:rFonts w:ascii="Times New Roman" w:hAnsi="Times New Roman" w:cs="Times New Roman"/>
          <w:sz w:val="24"/>
          <w:szCs w:val="24"/>
        </w:rPr>
        <w:t>ion movement. In her analysis, B</w:t>
      </w:r>
      <w:r w:rsidRPr="009B2A62">
        <w:rPr>
          <w:rFonts w:ascii="Times New Roman" w:hAnsi="Times New Roman" w:cs="Times New Roman"/>
          <w:sz w:val="24"/>
          <w:szCs w:val="24"/>
        </w:rPr>
        <w:t>argoffen examines the philosophical concepts presented in Beauvoir's text “The Second Sex.”</w:t>
      </w:r>
      <w:r>
        <w:rPr>
          <w:rStyle w:val="FootnoteReference"/>
          <w:rFonts w:ascii="Times New Roman" w:hAnsi="Times New Roman" w:cs="Times New Roman"/>
          <w:sz w:val="24"/>
          <w:szCs w:val="24"/>
        </w:rPr>
        <w:footnoteReference w:id="21"/>
      </w:r>
      <w:r w:rsidRPr="009B2A62">
        <w:rPr>
          <w:rFonts w:ascii="Times New Roman" w:hAnsi="Times New Roman" w:cs="Times New Roman"/>
          <w:sz w:val="24"/>
          <w:szCs w:val="24"/>
        </w:rPr>
        <w:t xml:space="preserve">  Magarey in her text “Women’s Liberation was a Movement, not an organization” examines the development of the women’s liberation movement in the 1970s when questions regarding the capacity of the movement to speak for, about and relate to the issues affecting women in the society. Butler, on the other hand, in her text “Sex and Gender in Simone de Beauvoir’s second sex” highlights some of the obstacles and barriers that women faced before they could become important in the society.</w:t>
      </w:r>
      <w:r>
        <w:rPr>
          <w:rStyle w:val="FootnoteReference"/>
          <w:rFonts w:ascii="Times New Roman" w:hAnsi="Times New Roman" w:cs="Times New Roman"/>
          <w:sz w:val="24"/>
          <w:szCs w:val="24"/>
        </w:rPr>
        <w:footnoteReference w:id="22"/>
      </w:r>
      <w:r w:rsidRPr="009B2A62">
        <w:rPr>
          <w:rFonts w:ascii="Times New Roman" w:hAnsi="Times New Roman" w:cs="Times New Roman"/>
          <w:sz w:val="24"/>
          <w:szCs w:val="24"/>
        </w:rPr>
        <w:t xml:space="preserve"> She uses some of the Beauvoir’s quotes to explain the women’s liberation concepts used by the early women activists. Cook in “The Long Sexual Revolution” explains the historical development of the women’s liberation movement from the late 1960s.</w:t>
      </w:r>
      <w:r>
        <w:rPr>
          <w:rStyle w:val="FootnoteReference"/>
          <w:rFonts w:ascii="Times New Roman" w:hAnsi="Times New Roman" w:cs="Times New Roman"/>
          <w:sz w:val="24"/>
          <w:szCs w:val="24"/>
        </w:rPr>
        <w:footnoteReference w:id="23"/>
      </w:r>
      <w:r w:rsidRPr="009B2A62">
        <w:rPr>
          <w:rFonts w:ascii="Times New Roman" w:hAnsi="Times New Roman" w:cs="Times New Roman"/>
          <w:sz w:val="24"/>
          <w:szCs w:val="24"/>
        </w:rPr>
        <w:t xml:space="preserve"> She further explains the social movement theories such as socialist and Marxism feminism and their influence on the women’s liberation movement in the 1970s.</w:t>
      </w:r>
      <w:r>
        <w:rPr>
          <w:rStyle w:val="FootnoteReference"/>
          <w:rFonts w:ascii="Times New Roman" w:hAnsi="Times New Roman" w:cs="Times New Roman"/>
          <w:sz w:val="24"/>
          <w:szCs w:val="24"/>
        </w:rPr>
        <w:footnoteReference w:id="24"/>
      </w:r>
      <w:r w:rsidRPr="009B2A62">
        <w:rPr>
          <w:rFonts w:ascii="Times New Roman" w:hAnsi="Times New Roman" w:cs="Times New Roman"/>
          <w:sz w:val="24"/>
          <w:szCs w:val="24"/>
        </w:rPr>
        <w:t xml:space="preserve"> </w:t>
      </w:r>
    </w:p>
    <w:p w14:paraId="57B0A9A6" w14:textId="77777777" w:rsidR="006A41A6" w:rsidRPr="009B2A62" w:rsidRDefault="003B1437" w:rsidP="009B2A62">
      <w:pPr>
        <w:spacing w:after="0" w:line="480" w:lineRule="auto"/>
        <w:jc w:val="center"/>
        <w:rPr>
          <w:rFonts w:ascii="Times New Roman" w:hAnsi="Times New Roman" w:cs="Times New Roman"/>
          <w:b/>
          <w:sz w:val="24"/>
          <w:szCs w:val="24"/>
        </w:rPr>
      </w:pPr>
      <w:r w:rsidRPr="009B2A62">
        <w:rPr>
          <w:rFonts w:ascii="Times New Roman" w:hAnsi="Times New Roman" w:cs="Times New Roman"/>
          <w:b/>
          <w:sz w:val="24"/>
          <w:szCs w:val="24"/>
        </w:rPr>
        <w:t>Discussion</w:t>
      </w:r>
    </w:p>
    <w:p w14:paraId="2F6931EA" w14:textId="77777777" w:rsidR="006A41A6" w:rsidRPr="009B2A62" w:rsidRDefault="003B1437" w:rsidP="009B2A62">
      <w:pPr>
        <w:spacing w:after="0" w:line="480" w:lineRule="auto"/>
        <w:ind w:firstLine="720"/>
        <w:rPr>
          <w:rFonts w:ascii="Times New Roman" w:hAnsi="Times New Roman" w:cs="Times New Roman"/>
          <w:sz w:val="24"/>
          <w:szCs w:val="24"/>
        </w:rPr>
      </w:pPr>
      <w:r w:rsidRPr="009B2A62">
        <w:rPr>
          <w:rFonts w:ascii="Times New Roman" w:hAnsi="Times New Roman" w:cs="Times New Roman"/>
          <w:sz w:val="24"/>
          <w:szCs w:val="24"/>
        </w:rPr>
        <w:t xml:space="preserve">In this section, I will </w:t>
      </w:r>
      <w:r w:rsidR="00B0629D">
        <w:rPr>
          <w:rFonts w:ascii="Times New Roman" w:hAnsi="Times New Roman" w:cs="Times New Roman"/>
          <w:sz w:val="24"/>
          <w:szCs w:val="24"/>
        </w:rPr>
        <w:t>offer critical analysis that</w:t>
      </w:r>
      <w:r w:rsidRPr="009B2A62">
        <w:rPr>
          <w:rFonts w:ascii="Times New Roman" w:hAnsi="Times New Roman" w:cs="Times New Roman"/>
          <w:sz w:val="24"/>
          <w:szCs w:val="24"/>
        </w:rPr>
        <w:t xml:space="preserve"> answer</w:t>
      </w:r>
      <w:r w:rsidR="00B0629D">
        <w:rPr>
          <w:rFonts w:ascii="Times New Roman" w:hAnsi="Times New Roman" w:cs="Times New Roman"/>
          <w:sz w:val="24"/>
          <w:szCs w:val="24"/>
        </w:rPr>
        <w:t>s</w:t>
      </w:r>
      <w:r w:rsidRPr="009B2A62">
        <w:rPr>
          <w:rFonts w:ascii="Times New Roman" w:hAnsi="Times New Roman" w:cs="Times New Roman"/>
          <w:sz w:val="24"/>
          <w:szCs w:val="24"/>
        </w:rPr>
        <w:t xml:space="preserve"> the research questions based on the texts selected for this </w:t>
      </w:r>
      <w:r w:rsidR="00B0629D">
        <w:rPr>
          <w:rFonts w:ascii="Times New Roman" w:hAnsi="Times New Roman" w:cs="Times New Roman"/>
          <w:sz w:val="24"/>
          <w:szCs w:val="24"/>
        </w:rPr>
        <w:t>research</w:t>
      </w:r>
      <w:r w:rsidRPr="009B2A62">
        <w:rPr>
          <w:rFonts w:ascii="Times New Roman" w:hAnsi="Times New Roman" w:cs="Times New Roman"/>
          <w:sz w:val="24"/>
          <w:szCs w:val="24"/>
        </w:rPr>
        <w:t>. It will be organized into following sub-headings:</w:t>
      </w:r>
    </w:p>
    <w:p w14:paraId="71ACAFAD" w14:textId="77777777" w:rsidR="006A41A6" w:rsidRPr="009B2A62" w:rsidRDefault="003B1437" w:rsidP="009B2A62">
      <w:pPr>
        <w:spacing w:after="0" w:line="480" w:lineRule="auto"/>
        <w:rPr>
          <w:rFonts w:ascii="Times New Roman" w:hAnsi="Times New Roman" w:cs="Times New Roman"/>
          <w:b/>
          <w:sz w:val="24"/>
          <w:szCs w:val="24"/>
        </w:rPr>
      </w:pPr>
      <w:r w:rsidRPr="009B2A62">
        <w:rPr>
          <w:rFonts w:ascii="Times New Roman" w:hAnsi="Times New Roman" w:cs="Times New Roman"/>
          <w:b/>
          <w:sz w:val="24"/>
          <w:szCs w:val="24"/>
        </w:rPr>
        <w:t xml:space="preserve">Obstacles of Women Representation </w:t>
      </w:r>
    </w:p>
    <w:p w14:paraId="08DC7F9B" w14:textId="77777777" w:rsidR="006A41A6" w:rsidRPr="009B2A62" w:rsidRDefault="003B1437" w:rsidP="009B2A62">
      <w:pPr>
        <w:spacing w:after="0" w:line="480" w:lineRule="auto"/>
        <w:ind w:firstLine="720"/>
        <w:rPr>
          <w:rFonts w:ascii="Times New Roman" w:hAnsi="Times New Roman" w:cs="Times New Roman"/>
          <w:sz w:val="24"/>
          <w:szCs w:val="24"/>
        </w:rPr>
      </w:pPr>
      <w:r w:rsidRPr="009B2A62">
        <w:rPr>
          <w:rFonts w:ascii="Times New Roman" w:hAnsi="Times New Roman" w:cs="Times New Roman"/>
          <w:sz w:val="24"/>
          <w:szCs w:val="24"/>
        </w:rPr>
        <w:lastRenderedPageBreak/>
        <w:t>In this section, I will discuss the barriers and challenges that women faced before the Women’s Liberation Movement. Some of the problems that will be addressed include being regarded as second sex as explained in de Beauvoir’s text “Second Sex.”</w:t>
      </w:r>
    </w:p>
    <w:p w14:paraId="0E180540" w14:textId="77777777" w:rsidR="006A41A6" w:rsidRPr="009B2A62" w:rsidRDefault="003B1437" w:rsidP="009B2A62">
      <w:pPr>
        <w:spacing w:after="0" w:line="480" w:lineRule="auto"/>
        <w:rPr>
          <w:rFonts w:ascii="Times New Roman" w:hAnsi="Times New Roman" w:cs="Times New Roman"/>
          <w:b/>
          <w:sz w:val="24"/>
          <w:szCs w:val="24"/>
        </w:rPr>
      </w:pPr>
      <w:r w:rsidRPr="009B2A62">
        <w:rPr>
          <w:rFonts w:ascii="Times New Roman" w:hAnsi="Times New Roman" w:cs="Times New Roman"/>
          <w:b/>
          <w:sz w:val="24"/>
          <w:szCs w:val="24"/>
        </w:rPr>
        <w:t>The Impacts of Women’s Liberation Movement on Political Landscape</w:t>
      </w:r>
    </w:p>
    <w:p w14:paraId="4A8E149B" w14:textId="77777777" w:rsidR="006A41A6" w:rsidRPr="009B2A62" w:rsidRDefault="003B1437" w:rsidP="009B2A62">
      <w:pPr>
        <w:spacing w:after="0" w:line="480" w:lineRule="auto"/>
        <w:ind w:firstLine="720"/>
        <w:rPr>
          <w:rFonts w:ascii="Times New Roman" w:hAnsi="Times New Roman" w:cs="Times New Roman"/>
          <w:sz w:val="24"/>
          <w:szCs w:val="24"/>
        </w:rPr>
      </w:pPr>
      <w:r w:rsidRPr="009B2A62">
        <w:rPr>
          <w:rFonts w:ascii="Times New Roman" w:hAnsi="Times New Roman" w:cs="Times New Roman"/>
          <w:sz w:val="24"/>
          <w:szCs w:val="24"/>
        </w:rPr>
        <w:t>This section will explain the contributions of women in the political arena in Europe and other parts of the world. In this section, I will discuss some prominent women leaders such as Margaret Hilda Thatcher, Michelle Bachelet, and Laura Chinchilla Miranda. Haines examines the use of women’s image such as Marianne’s image to raise awareness of women’s liberation movement in France.</w:t>
      </w:r>
      <w:r>
        <w:rPr>
          <w:rStyle w:val="FootnoteReference"/>
          <w:rFonts w:ascii="Times New Roman" w:hAnsi="Times New Roman" w:cs="Times New Roman"/>
          <w:sz w:val="24"/>
          <w:szCs w:val="24"/>
        </w:rPr>
        <w:footnoteReference w:id="25"/>
      </w:r>
      <w:r w:rsidRPr="009B2A62">
        <w:rPr>
          <w:rFonts w:ascii="Times New Roman" w:hAnsi="Times New Roman" w:cs="Times New Roman"/>
          <w:sz w:val="24"/>
          <w:szCs w:val="24"/>
        </w:rPr>
        <w:t xml:space="preserve"> I will use this study to provide analysis of the impacts of women’s liberation movement in the French’s political arena. Gianoulis examines the scope of women’s liberation movement, especially how women started to demand political changes. According to Gianoulis, women began to require changes in the discriminatory laws and their quest for legal rights created a platform for the creation of an enlightened, committed, and powerful modern woman.</w:t>
      </w:r>
      <w:r>
        <w:rPr>
          <w:rStyle w:val="FootnoteReference"/>
          <w:rFonts w:ascii="Times New Roman" w:hAnsi="Times New Roman" w:cs="Times New Roman"/>
          <w:sz w:val="24"/>
          <w:szCs w:val="24"/>
        </w:rPr>
        <w:footnoteReference w:id="26"/>
      </w:r>
      <w:r w:rsidRPr="009B2A62">
        <w:rPr>
          <w:rFonts w:ascii="Times New Roman" w:hAnsi="Times New Roman" w:cs="Times New Roman"/>
          <w:sz w:val="24"/>
          <w:szCs w:val="24"/>
        </w:rPr>
        <w:t xml:space="preserve"> Haines examines the French women’s liberation movement and how it contributed to the creation of new programs and legislation that aimed at improving the relations between the sexes.</w:t>
      </w:r>
      <w:r>
        <w:rPr>
          <w:rStyle w:val="FootnoteReference"/>
          <w:rFonts w:ascii="Times New Roman" w:hAnsi="Times New Roman" w:cs="Times New Roman"/>
          <w:sz w:val="24"/>
          <w:szCs w:val="24"/>
        </w:rPr>
        <w:footnoteReference w:id="27"/>
      </w:r>
      <w:r w:rsidRPr="009B2A62">
        <w:rPr>
          <w:rFonts w:ascii="Times New Roman" w:hAnsi="Times New Roman" w:cs="Times New Roman"/>
          <w:sz w:val="24"/>
          <w:szCs w:val="24"/>
        </w:rPr>
        <w:t xml:space="preserve"> </w:t>
      </w:r>
    </w:p>
    <w:p w14:paraId="7A10DB7E" w14:textId="22C899C8" w:rsidR="006A41A6" w:rsidRPr="009B2A62" w:rsidRDefault="003B1437" w:rsidP="009B2A62">
      <w:pPr>
        <w:spacing w:after="0" w:line="480" w:lineRule="auto"/>
        <w:rPr>
          <w:rFonts w:ascii="Times New Roman" w:hAnsi="Times New Roman" w:cs="Times New Roman"/>
          <w:b/>
          <w:sz w:val="24"/>
          <w:szCs w:val="24"/>
        </w:rPr>
      </w:pPr>
      <w:r w:rsidRPr="009B2A62">
        <w:rPr>
          <w:rFonts w:ascii="Times New Roman" w:hAnsi="Times New Roman" w:cs="Times New Roman"/>
          <w:b/>
          <w:sz w:val="24"/>
          <w:szCs w:val="24"/>
        </w:rPr>
        <w:t xml:space="preserve">Social Impacts of </w:t>
      </w:r>
      <w:r w:rsidR="00F67960" w:rsidRPr="009B2A62">
        <w:rPr>
          <w:rFonts w:ascii="Times New Roman" w:hAnsi="Times New Roman" w:cs="Times New Roman"/>
          <w:b/>
          <w:sz w:val="24"/>
          <w:szCs w:val="24"/>
        </w:rPr>
        <w:t>Women</w:t>
      </w:r>
      <w:r w:rsidR="00F67960">
        <w:rPr>
          <w:rFonts w:ascii="Times New Roman" w:hAnsi="Times New Roman" w:cs="Times New Roman"/>
          <w:b/>
          <w:sz w:val="24"/>
          <w:szCs w:val="24"/>
        </w:rPr>
        <w:t>’</w:t>
      </w:r>
      <w:r w:rsidRPr="009B2A62">
        <w:rPr>
          <w:rFonts w:ascii="Times New Roman" w:hAnsi="Times New Roman" w:cs="Times New Roman"/>
          <w:b/>
          <w:sz w:val="24"/>
          <w:szCs w:val="24"/>
        </w:rPr>
        <w:t xml:space="preserve">s Liberation Movement? </w:t>
      </w:r>
    </w:p>
    <w:p w14:paraId="73C16416" w14:textId="77777777" w:rsidR="006A41A6" w:rsidRPr="009B2A62" w:rsidRDefault="003B1437" w:rsidP="009B2A62">
      <w:pPr>
        <w:spacing w:after="0" w:line="480" w:lineRule="auto"/>
        <w:ind w:firstLine="720"/>
        <w:rPr>
          <w:rFonts w:ascii="Times New Roman" w:hAnsi="Times New Roman" w:cs="Times New Roman"/>
          <w:sz w:val="24"/>
          <w:szCs w:val="24"/>
        </w:rPr>
      </w:pPr>
      <w:r w:rsidRPr="009B2A62">
        <w:rPr>
          <w:rFonts w:ascii="Times New Roman" w:hAnsi="Times New Roman" w:cs="Times New Roman"/>
          <w:sz w:val="24"/>
          <w:szCs w:val="24"/>
        </w:rPr>
        <w:t xml:space="preserve">The social impacts of women include their contribution to health, education, and work. Before the liberation movement, women lacked education and other social involvement. They were kept away from learning institutions and getting the education because the men feared that </w:t>
      </w:r>
      <w:r w:rsidRPr="009B2A62">
        <w:rPr>
          <w:rFonts w:ascii="Times New Roman" w:hAnsi="Times New Roman" w:cs="Times New Roman"/>
          <w:sz w:val="24"/>
          <w:szCs w:val="24"/>
        </w:rPr>
        <w:lastRenderedPageBreak/>
        <w:t>enlightened women would begin to question their obligatory power, which they used to hold them in their places. Gianoulis in her study “Women’s Liberation Movement” examines the social changes and factors that created the opportunity for the creation of the modern society. She discusses the historical development of the Women’s Liberation Movement from the 1940s, through 1950s to 1960s.</w:t>
      </w:r>
      <w:r>
        <w:rPr>
          <w:rStyle w:val="FootnoteReference"/>
          <w:rFonts w:ascii="Times New Roman" w:hAnsi="Times New Roman" w:cs="Times New Roman"/>
          <w:sz w:val="24"/>
          <w:szCs w:val="24"/>
        </w:rPr>
        <w:footnoteReference w:id="28"/>
      </w:r>
      <w:r w:rsidRPr="009B2A62">
        <w:rPr>
          <w:rFonts w:ascii="Times New Roman" w:hAnsi="Times New Roman" w:cs="Times New Roman"/>
          <w:sz w:val="24"/>
          <w:szCs w:val="24"/>
        </w:rPr>
        <w:t xml:space="preserve"> In her study, Gianoulis argues the invention and distribution of contraceptives created a reliable environment for women activists to start challenging the obligatory responsibilities placed upon them by the dominant male gender.</w:t>
      </w:r>
      <w:r>
        <w:rPr>
          <w:rStyle w:val="FootnoteReference"/>
          <w:rFonts w:ascii="Times New Roman" w:hAnsi="Times New Roman" w:cs="Times New Roman"/>
          <w:sz w:val="24"/>
          <w:szCs w:val="24"/>
        </w:rPr>
        <w:footnoteReference w:id="29"/>
      </w:r>
      <w:r w:rsidRPr="009B2A62">
        <w:rPr>
          <w:rFonts w:ascii="Times New Roman" w:hAnsi="Times New Roman" w:cs="Times New Roman"/>
          <w:sz w:val="24"/>
          <w:szCs w:val="24"/>
        </w:rPr>
        <w:t xml:space="preserve"> </w:t>
      </w:r>
    </w:p>
    <w:p w14:paraId="4649275E" w14:textId="77777777" w:rsidR="006A41A6" w:rsidRPr="009B2A62" w:rsidRDefault="003B1437" w:rsidP="009B2A62">
      <w:pPr>
        <w:spacing w:after="0" w:line="480" w:lineRule="auto"/>
        <w:rPr>
          <w:rFonts w:ascii="Times New Roman" w:hAnsi="Times New Roman" w:cs="Times New Roman"/>
          <w:b/>
          <w:sz w:val="24"/>
          <w:szCs w:val="24"/>
        </w:rPr>
      </w:pPr>
      <w:r w:rsidRPr="009B2A62">
        <w:rPr>
          <w:rFonts w:ascii="Times New Roman" w:hAnsi="Times New Roman" w:cs="Times New Roman"/>
          <w:b/>
          <w:sz w:val="24"/>
          <w:szCs w:val="24"/>
        </w:rPr>
        <w:t>The Economic Impacts of Women’s Liberation Movement in Europe</w:t>
      </w:r>
    </w:p>
    <w:p w14:paraId="7F78276C" w14:textId="77777777" w:rsidR="006A41A6" w:rsidRPr="009B2A62" w:rsidRDefault="003B1437" w:rsidP="009B2A62">
      <w:pPr>
        <w:spacing w:after="0" w:line="480" w:lineRule="auto"/>
        <w:ind w:firstLine="720"/>
        <w:rPr>
          <w:rFonts w:ascii="Times New Roman" w:hAnsi="Times New Roman" w:cs="Times New Roman"/>
          <w:sz w:val="24"/>
          <w:szCs w:val="24"/>
        </w:rPr>
      </w:pPr>
      <w:r w:rsidRPr="009B2A62">
        <w:rPr>
          <w:rFonts w:ascii="Times New Roman" w:hAnsi="Times New Roman" w:cs="Times New Roman"/>
          <w:sz w:val="24"/>
          <w:szCs w:val="24"/>
        </w:rPr>
        <w:t>In this section, I will discuss in detail the contributions of women in the economic development. Ghorfati and Rabha explain that after the Women’s Liberation Movement, many women started to take up many roles that contributed to the economic growth.</w:t>
      </w:r>
      <w:r>
        <w:rPr>
          <w:rStyle w:val="FootnoteReference"/>
          <w:rFonts w:ascii="Times New Roman" w:hAnsi="Times New Roman" w:cs="Times New Roman"/>
          <w:sz w:val="24"/>
          <w:szCs w:val="24"/>
        </w:rPr>
        <w:footnoteReference w:id="30"/>
      </w:r>
      <w:r w:rsidRPr="009B2A62">
        <w:rPr>
          <w:rFonts w:ascii="Times New Roman" w:hAnsi="Times New Roman" w:cs="Times New Roman"/>
          <w:sz w:val="24"/>
          <w:szCs w:val="24"/>
        </w:rPr>
        <w:t xml:space="preserve"> The authors assert that by the year 2000, the female employment rate had risen to 20.5%. Further, towards the beginning of the 1980s, many women started participating in the economic and political debates that created an opportunity for them to take up positions in the economic decision making. </w:t>
      </w:r>
    </w:p>
    <w:p w14:paraId="2C7A305F" w14:textId="77777777" w:rsidR="006A41A6" w:rsidRPr="009B2A62" w:rsidRDefault="003B1437" w:rsidP="009B2A62">
      <w:pPr>
        <w:spacing w:after="0" w:line="480" w:lineRule="auto"/>
        <w:jc w:val="center"/>
        <w:rPr>
          <w:rFonts w:ascii="Times New Roman" w:hAnsi="Times New Roman" w:cs="Times New Roman"/>
          <w:b/>
          <w:sz w:val="24"/>
          <w:szCs w:val="24"/>
        </w:rPr>
      </w:pPr>
      <w:r w:rsidRPr="009B2A62">
        <w:rPr>
          <w:rFonts w:ascii="Times New Roman" w:hAnsi="Times New Roman" w:cs="Times New Roman"/>
          <w:b/>
          <w:sz w:val="24"/>
          <w:szCs w:val="24"/>
        </w:rPr>
        <w:t>Conclusion</w:t>
      </w:r>
    </w:p>
    <w:p w14:paraId="669E6C33" w14:textId="77777777" w:rsidR="001C37CB" w:rsidRDefault="003B1437" w:rsidP="001C37CB">
      <w:pPr>
        <w:spacing w:after="0" w:line="480" w:lineRule="auto"/>
        <w:ind w:firstLine="720"/>
        <w:rPr>
          <w:rFonts w:ascii="Times New Roman" w:hAnsi="Times New Roman" w:cs="Times New Roman"/>
          <w:sz w:val="24"/>
          <w:szCs w:val="24"/>
        </w:rPr>
      </w:pPr>
      <w:r w:rsidRPr="009B2A62">
        <w:rPr>
          <w:rFonts w:ascii="Times New Roman" w:hAnsi="Times New Roman" w:cs="Times New Roman"/>
          <w:sz w:val="24"/>
          <w:szCs w:val="24"/>
        </w:rPr>
        <w:t xml:space="preserve">Based on this systematic review of 13 sources, this research concludes that many studies agree that women have gone through different challenges to become the modern recognized woman. Further, with the emergence of Women’s Liberation Movement in the 1960s, women started to make contributions to the political, economic, and social aspects of the society. The legacy of the early women such as Marianne, Thatcher and de Beauvoir portrays the challenges </w:t>
      </w:r>
      <w:r w:rsidRPr="009B2A62">
        <w:rPr>
          <w:rFonts w:ascii="Times New Roman" w:hAnsi="Times New Roman" w:cs="Times New Roman"/>
          <w:sz w:val="24"/>
          <w:szCs w:val="24"/>
        </w:rPr>
        <w:lastRenderedPageBreak/>
        <w:t>that women faced. These women served as an inspiration to other women to pursue justice, liberty, and equality.</w:t>
      </w:r>
    </w:p>
    <w:p w14:paraId="66A9C980" w14:textId="77777777" w:rsidR="001C37CB" w:rsidRDefault="003B1437" w:rsidP="001C37C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AA41FB3" w14:textId="77777777" w:rsidR="006A41A6" w:rsidRPr="009B2A62" w:rsidRDefault="003B1437" w:rsidP="001C37CB">
      <w:pPr>
        <w:spacing w:after="0" w:line="480" w:lineRule="auto"/>
        <w:jc w:val="center"/>
        <w:rPr>
          <w:rFonts w:ascii="Times New Roman" w:hAnsi="Times New Roman" w:cs="Times New Roman"/>
          <w:sz w:val="24"/>
          <w:szCs w:val="24"/>
        </w:rPr>
      </w:pPr>
      <w:r w:rsidRPr="009B2A62">
        <w:rPr>
          <w:rFonts w:ascii="Times New Roman" w:hAnsi="Times New Roman" w:cs="Times New Roman"/>
          <w:sz w:val="24"/>
          <w:szCs w:val="24"/>
        </w:rPr>
        <w:lastRenderedPageBreak/>
        <w:t>Bibliography</w:t>
      </w:r>
    </w:p>
    <w:p w14:paraId="2560D498" w14:textId="77777777" w:rsidR="009B2A62" w:rsidRPr="009B2A62" w:rsidRDefault="003B1437" w:rsidP="009B2A62">
      <w:pPr>
        <w:spacing w:after="0" w:line="480" w:lineRule="auto"/>
        <w:rPr>
          <w:rFonts w:ascii="Times New Roman" w:hAnsi="Times New Roman" w:cs="Times New Roman"/>
          <w:b/>
          <w:sz w:val="24"/>
          <w:szCs w:val="24"/>
        </w:rPr>
      </w:pPr>
      <w:r w:rsidRPr="009B2A62">
        <w:rPr>
          <w:rFonts w:ascii="Times New Roman" w:hAnsi="Times New Roman" w:cs="Times New Roman"/>
          <w:b/>
          <w:sz w:val="24"/>
          <w:szCs w:val="24"/>
        </w:rPr>
        <w:t xml:space="preserve">Primary Sources </w:t>
      </w:r>
    </w:p>
    <w:p w14:paraId="0EC89866" w14:textId="77777777" w:rsidR="009B2A62" w:rsidRDefault="003B1437" w:rsidP="009B2A62">
      <w:pPr>
        <w:spacing w:after="0" w:line="480" w:lineRule="auto"/>
        <w:ind w:left="785" w:hangingChars="327" w:hanging="785"/>
        <w:rPr>
          <w:rFonts w:ascii="Times New Roman" w:hAnsi="Times New Roman" w:cs="Times New Roman"/>
          <w:sz w:val="24"/>
          <w:szCs w:val="24"/>
          <w:shd w:val="clear" w:color="auto" w:fill="FFFFFF"/>
        </w:rPr>
      </w:pPr>
      <w:r w:rsidRPr="009B2A62">
        <w:rPr>
          <w:rFonts w:ascii="Times New Roman" w:hAnsi="Times New Roman" w:cs="Times New Roman"/>
          <w:sz w:val="24"/>
          <w:szCs w:val="24"/>
          <w:shd w:val="clear" w:color="auto" w:fill="FFFFFF"/>
        </w:rPr>
        <w:t>Bergoffen, Debra. Zalta, Edward N., ed. </w:t>
      </w:r>
      <w:hyperlink r:id="rId8" w:history="1">
        <w:r w:rsidRPr="009B2A62">
          <w:rPr>
            <w:rStyle w:val="Hyperlink"/>
            <w:rFonts w:ascii="Times New Roman" w:hAnsi="Times New Roman" w:cs="Times New Roman"/>
            <w:color w:val="auto"/>
            <w:sz w:val="24"/>
            <w:szCs w:val="24"/>
            <w:u w:val="none"/>
          </w:rPr>
          <w:t>"The Stanford Encyclopedia of Philosophy: Simone de Beauvoir"</w:t>
        </w:r>
      </w:hyperlink>
      <w:r w:rsidRPr="009B2A62">
        <w:rPr>
          <w:rFonts w:ascii="Times New Roman" w:hAnsi="Times New Roman" w:cs="Times New Roman"/>
          <w:sz w:val="24"/>
          <w:szCs w:val="24"/>
          <w:shd w:val="clear" w:color="auto" w:fill="FFFFFF"/>
        </w:rPr>
        <w:t>. </w:t>
      </w:r>
      <w:r w:rsidRPr="009B2A62">
        <w:rPr>
          <w:rFonts w:ascii="Times New Roman" w:hAnsi="Times New Roman" w:cs="Times New Roman"/>
          <w:i/>
          <w:iCs/>
          <w:sz w:val="24"/>
          <w:szCs w:val="24"/>
          <w:shd w:val="clear" w:color="auto" w:fill="FFFFFF"/>
        </w:rPr>
        <w:t>plato.stanford.edu</w:t>
      </w:r>
      <w:r w:rsidRPr="009B2A62">
        <w:rPr>
          <w:rFonts w:ascii="Times New Roman" w:hAnsi="Times New Roman" w:cs="Times New Roman"/>
          <w:sz w:val="24"/>
          <w:szCs w:val="24"/>
          <w:shd w:val="clear" w:color="auto" w:fill="FFFFFF"/>
        </w:rPr>
        <w:t>. Stanford, California: </w:t>
      </w:r>
      <w:hyperlink r:id="rId9" w:tooltip="Stanford University" w:history="1">
        <w:r w:rsidRPr="009B2A62">
          <w:rPr>
            <w:rStyle w:val="Hyperlink"/>
            <w:rFonts w:ascii="Times New Roman" w:hAnsi="Times New Roman" w:cs="Times New Roman"/>
            <w:color w:val="auto"/>
            <w:sz w:val="24"/>
            <w:szCs w:val="24"/>
            <w:u w:val="none"/>
            <w:shd w:val="clear" w:color="auto" w:fill="FFFFFF"/>
          </w:rPr>
          <w:t>Stanford University</w:t>
        </w:r>
      </w:hyperlink>
      <w:r w:rsidRPr="009B2A62">
        <w:rPr>
          <w:rFonts w:ascii="Times New Roman" w:hAnsi="Times New Roman" w:cs="Times New Roman"/>
          <w:sz w:val="24"/>
          <w:szCs w:val="24"/>
          <w:shd w:val="clear" w:color="auto" w:fill="FFFFFF"/>
        </w:rPr>
        <w:t xml:space="preserve"> (17 August 2004).</w:t>
      </w:r>
    </w:p>
    <w:p w14:paraId="408B37FA" w14:textId="77777777" w:rsidR="000755EE" w:rsidRPr="009B2A62" w:rsidRDefault="003B1437" w:rsidP="000755EE">
      <w:pPr>
        <w:spacing w:after="0" w:line="480" w:lineRule="auto"/>
        <w:ind w:firstLine="720"/>
        <w:rPr>
          <w:rFonts w:ascii="Times New Roman" w:hAnsi="Times New Roman" w:cs="Times New Roman"/>
          <w:sz w:val="24"/>
          <w:szCs w:val="24"/>
          <w:shd w:val="clear" w:color="auto" w:fill="FFFFFF"/>
        </w:rPr>
      </w:pPr>
      <w:r w:rsidRPr="000755EE">
        <w:rPr>
          <w:rFonts w:ascii="Times New Roman" w:hAnsi="Times New Roman" w:cs="Times New Roman"/>
          <w:sz w:val="24"/>
          <w:szCs w:val="24"/>
          <w:shd w:val="clear" w:color="auto" w:fill="FFFFFF"/>
        </w:rPr>
        <w:t>This text examines the philosophical concepts in de Beauvoir's text "The Second Sex." The author discusses how a woman's image has been presented in the de Beauvoir's text and relates it with the society's representation of a woman. The author uses the quotes from de Beauvoir's text to situate the position of a woman in the society. This text will help in my research to analyze the obstacles and barriers that women faced before the Women's Liberation Movement in the 1960s. Based on the famous quotes by de Beauvoir's text this book will help me understand and analyze the historical development of Women's Liberation Movement in Europe.</w:t>
      </w:r>
    </w:p>
    <w:p w14:paraId="73083A9F" w14:textId="77777777" w:rsidR="009B2A62" w:rsidRDefault="003B1437" w:rsidP="009B2A62">
      <w:pPr>
        <w:spacing w:after="0" w:line="480" w:lineRule="auto"/>
        <w:ind w:left="785" w:hangingChars="327" w:hanging="785"/>
        <w:rPr>
          <w:rFonts w:ascii="Times New Roman" w:hAnsi="Times New Roman" w:cs="Times New Roman"/>
          <w:sz w:val="24"/>
          <w:szCs w:val="24"/>
          <w:shd w:val="clear" w:color="auto" w:fill="FFFFFF"/>
        </w:rPr>
      </w:pPr>
      <w:r w:rsidRPr="009B2A62">
        <w:rPr>
          <w:rFonts w:ascii="Times New Roman" w:hAnsi="Times New Roman" w:cs="Times New Roman"/>
          <w:sz w:val="24"/>
          <w:szCs w:val="24"/>
          <w:shd w:val="clear" w:color="auto" w:fill="FFFFFF"/>
        </w:rPr>
        <w:t xml:space="preserve">Cook, Megan. </w:t>
      </w:r>
      <w:hyperlink r:id="rId10" w:history="1">
        <w:r w:rsidRPr="009B2A62">
          <w:rPr>
            <w:rStyle w:val="Hyperlink"/>
            <w:rFonts w:ascii="Times New Roman" w:hAnsi="Times New Roman" w:cs="Times New Roman"/>
            <w:color w:val="auto"/>
            <w:sz w:val="24"/>
            <w:szCs w:val="24"/>
            <w:u w:val="none"/>
          </w:rPr>
          <w:t>"Women's movement—The Women's Liberation Movement"</w:t>
        </w:r>
      </w:hyperlink>
      <w:r w:rsidRPr="009B2A62">
        <w:rPr>
          <w:rFonts w:ascii="Times New Roman" w:hAnsi="Times New Roman" w:cs="Times New Roman"/>
          <w:sz w:val="24"/>
          <w:szCs w:val="24"/>
          <w:shd w:val="clear" w:color="auto" w:fill="FFFFFF"/>
        </w:rPr>
        <w:t>. </w:t>
      </w:r>
      <w:r w:rsidRPr="009B2A62">
        <w:rPr>
          <w:rFonts w:ascii="Times New Roman" w:hAnsi="Times New Roman" w:cs="Times New Roman"/>
          <w:i/>
          <w:iCs/>
          <w:sz w:val="24"/>
          <w:szCs w:val="24"/>
          <w:shd w:val="clear" w:color="auto" w:fill="FFFFFF"/>
        </w:rPr>
        <w:t>Te Ara Encyclopedia of New Zealand</w:t>
      </w:r>
      <w:r w:rsidRPr="009B2A62">
        <w:rPr>
          <w:rFonts w:ascii="Times New Roman" w:hAnsi="Times New Roman" w:cs="Times New Roman"/>
          <w:sz w:val="24"/>
          <w:szCs w:val="24"/>
          <w:shd w:val="clear" w:color="auto" w:fill="FFFFFF"/>
        </w:rPr>
        <w:t xml:space="preserve">. Wellington, New Zealand: New Zealand Ministry for Culture and Heritage Te </w:t>
      </w:r>
      <w:r w:rsidR="00670E7A" w:rsidRPr="009B2A62">
        <w:rPr>
          <w:rFonts w:ascii="Times New Roman" w:hAnsi="Times New Roman" w:cs="Times New Roman"/>
          <w:sz w:val="24"/>
          <w:szCs w:val="24"/>
          <w:shd w:val="clear" w:color="auto" w:fill="FFFFFF"/>
        </w:rPr>
        <w:t>Manatu. (</w:t>
      </w:r>
      <w:r w:rsidRPr="009B2A62">
        <w:rPr>
          <w:rFonts w:ascii="Times New Roman" w:hAnsi="Times New Roman" w:cs="Times New Roman"/>
          <w:sz w:val="24"/>
          <w:szCs w:val="24"/>
          <w:shd w:val="clear" w:color="auto" w:fill="FFFFFF"/>
        </w:rPr>
        <w:t>5 May 2011).</w:t>
      </w:r>
    </w:p>
    <w:p w14:paraId="1DBDEB96" w14:textId="77777777" w:rsidR="000755EE" w:rsidRPr="009B2A62" w:rsidRDefault="003B1437" w:rsidP="000755EE">
      <w:pPr>
        <w:spacing w:after="0" w:line="480" w:lineRule="auto"/>
        <w:ind w:firstLine="720"/>
        <w:rPr>
          <w:rFonts w:ascii="Times New Roman" w:hAnsi="Times New Roman" w:cs="Times New Roman"/>
          <w:sz w:val="24"/>
          <w:szCs w:val="24"/>
          <w:shd w:val="clear" w:color="auto" w:fill="FFFFFF"/>
        </w:rPr>
      </w:pPr>
      <w:r w:rsidRPr="000755EE">
        <w:rPr>
          <w:rFonts w:ascii="Times New Roman" w:hAnsi="Times New Roman" w:cs="Times New Roman"/>
          <w:sz w:val="24"/>
          <w:szCs w:val="24"/>
          <w:shd w:val="clear" w:color="auto" w:fill="FFFFFF"/>
        </w:rPr>
        <w:t>This article explains different concepts involved in Women’s Liberation Movement. The article further provides a historical analysis of the Women’s movement in the 19</w:t>
      </w:r>
      <w:r w:rsidRPr="000755EE">
        <w:rPr>
          <w:rFonts w:ascii="Times New Roman" w:hAnsi="Times New Roman" w:cs="Times New Roman"/>
          <w:sz w:val="24"/>
          <w:szCs w:val="24"/>
          <w:shd w:val="clear" w:color="auto" w:fill="FFFFFF"/>
          <w:vertAlign w:val="superscript"/>
        </w:rPr>
        <w:t>th</w:t>
      </w:r>
      <w:r w:rsidRPr="000755EE">
        <w:rPr>
          <w:rFonts w:ascii="Times New Roman" w:hAnsi="Times New Roman" w:cs="Times New Roman"/>
          <w:sz w:val="24"/>
          <w:szCs w:val="24"/>
          <w:shd w:val="clear" w:color="auto" w:fill="FFFFFF"/>
        </w:rPr>
        <w:t xml:space="preserve"> century and mid-20</w:t>
      </w:r>
      <w:r w:rsidRPr="000755EE">
        <w:rPr>
          <w:rFonts w:ascii="Times New Roman" w:hAnsi="Times New Roman" w:cs="Times New Roman"/>
          <w:sz w:val="24"/>
          <w:szCs w:val="24"/>
          <w:shd w:val="clear" w:color="auto" w:fill="FFFFFF"/>
          <w:vertAlign w:val="superscript"/>
        </w:rPr>
        <w:t>th</w:t>
      </w:r>
      <w:r w:rsidRPr="000755EE">
        <w:rPr>
          <w:rFonts w:ascii="Times New Roman" w:hAnsi="Times New Roman" w:cs="Times New Roman"/>
          <w:sz w:val="24"/>
          <w:szCs w:val="24"/>
          <w:shd w:val="clear" w:color="auto" w:fill="FFFFFF"/>
        </w:rPr>
        <w:t xml:space="preserve"> century. Cook examines the influence of political landscapes in America and Britain on women’s liberation movement. The article also discusses the socialist and Marxist feminism theories and their contributions to women’s liberation movement. This text will help in my research to understand and analyze the historical development of women’s liberation movement </w:t>
      </w:r>
      <w:r w:rsidRPr="000755EE">
        <w:rPr>
          <w:rFonts w:ascii="Times New Roman" w:hAnsi="Times New Roman" w:cs="Times New Roman"/>
          <w:sz w:val="24"/>
          <w:szCs w:val="24"/>
          <w:shd w:val="clear" w:color="auto" w:fill="FFFFFF"/>
        </w:rPr>
        <w:lastRenderedPageBreak/>
        <w:t>in Europe. Further, the social theories will help me in analyzing the political and social impacts of women’s liberation movement.</w:t>
      </w:r>
    </w:p>
    <w:p w14:paraId="1A039CDB" w14:textId="77777777" w:rsidR="009B2A62" w:rsidRDefault="003B1437" w:rsidP="009B2A62">
      <w:pPr>
        <w:spacing w:after="0" w:line="480" w:lineRule="auto"/>
        <w:ind w:left="785" w:hangingChars="327" w:hanging="785"/>
        <w:rPr>
          <w:rFonts w:ascii="Times New Roman" w:hAnsi="Times New Roman" w:cs="Times New Roman"/>
          <w:sz w:val="24"/>
          <w:szCs w:val="24"/>
          <w:shd w:val="clear" w:color="auto" w:fill="FFFFFF"/>
        </w:rPr>
      </w:pPr>
      <w:r w:rsidRPr="009B2A62">
        <w:rPr>
          <w:rFonts w:ascii="Times New Roman" w:hAnsi="Times New Roman" w:cs="Times New Roman"/>
          <w:sz w:val="24"/>
          <w:szCs w:val="24"/>
          <w:shd w:val="clear" w:color="auto" w:fill="FFFFFF"/>
        </w:rPr>
        <w:t>Forster, Laurel, and Sue Bruley. </w:t>
      </w:r>
      <w:r w:rsidR="00670E7A" w:rsidRPr="009B2A62">
        <w:rPr>
          <w:rFonts w:ascii="Times New Roman" w:hAnsi="Times New Roman" w:cs="Times New Roman"/>
          <w:i/>
          <w:iCs/>
          <w:sz w:val="24"/>
          <w:szCs w:val="24"/>
          <w:shd w:val="clear" w:color="auto" w:fill="FFFFFF"/>
        </w:rPr>
        <w:t>Historicizing</w:t>
      </w:r>
      <w:r w:rsidRPr="009B2A62">
        <w:rPr>
          <w:rFonts w:ascii="Times New Roman" w:hAnsi="Times New Roman" w:cs="Times New Roman"/>
          <w:i/>
          <w:iCs/>
          <w:sz w:val="24"/>
          <w:szCs w:val="24"/>
          <w:shd w:val="clear" w:color="auto" w:fill="FFFFFF"/>
        </w:rPr>
        <w:t xml:space="preserve"> the Women’s Liberation Movement in the Western World: 1960-1999</w:t>
      </w:r>
      <w:r w:rsidRPr="009B2A62">
        <w:rPr>
          <w:rFonts w:ascii="Times New Roman" w:hAnsi="Times New Roman" w:cs="Times New Roman"/>
          <w:sz w:val="24"/>
          <w:szCs w:val="24"/>
          <w:shd w:val="clear" w:color="auto" w:fill="FFFFFF"/>
        </w:rPr>
        <w:t>. Routledge, 2018.</w:t>
      </w:r>
    </w:p>
    <w:p w14:paraId="17A53C5A" w14:textId="77777777" w:rsidR="00F139E9" w:rsidRPr="009B2A62" w:rsidRDefault="003B1437" w:rsidP="00F139E9">
      <w:pPr>
        <w:spacing w:after="0" w:line="480" w:lineRule="auto"/>
        <w:ind w:firstLine="720"/>
        <w:rPr>
          <w:rFonts w:ascii="Times New Roman" w:hAnsi="Times New Roman" w:cs="Times New Roman"/>
          <w:sz w:val="24"/>
          <w:szCs w:val="24"/>
          <w:shd w:val="clear" w:color="auto" w:fill="FFFFFF"/>
        </w:rPr>
      </w:pPr>
      <w:r w:rsidRPr="00F139E9">
        <w:rPr>
          <w:rFonts w:ascii="Times New Roman" w:hAnsi="Times New Roman" w:cs="Times New Roman"/>
          <w:sz w:val="24"/>
          <w:szCs w:val="24"/>
          <w:shd w:val="clear" w:color="auto" w:fill="FFFFFF"/>
        </w:rPr>
        <w:t xml:space="preserve">This </w:t>
      </w:r>
      <w:r>
        <w:rPr>
          <w:rFonts w:ascii="Times New Roman" w:hAnsi="Times New Roman" w:cs="Times New Roman"/>
          <w:sz w:val="24"/>
          <w:szCs w:val="24"/>
          <w:shd w:val="clear" w:color="auto" w:fill="FFFFFF"/>
        </w:rPr>
        <w:t>source</w:t>
      </w:r>
      <w:r w:rsidRPr="00F139E9">
        <w:rPr>
          <w:rFonts w:ascii="Times New Roman" w:hAnsi="Times New Roman" w:cs="Times New Roman"/>
          <w:sz w:val="24"/>
          <w:szCs w:val="24"/>
          <w:shd w:val="clear" w:color="auto" w:fill="FFFFFF"/>
        </w:rPr>
        <w:t xml:space="preserve"> examines the history of women’s liberation movement in the Western societies between 1960 and 1999. Based on the analysis of different literature materials, the authors provide a historical analysis of the women’s liberation movement. The authors explain some of the factors that motivated the creation of women’s liberation movement in different parts of the world. According to them, beginning with the 1960s after the Second World War, Vietnam War, and nuclear war women started to agitate for their status in the society. This book will help me analyze the historical analysis of the women’s liberation movement in Europe and other parts of the world in the 1960s through 1999.</w:t>
      </w:r>
    </w:p>
    <w:p w14:paraId="3909046A" w14:textId="77777777" w:rsidR="009B2A62" w:rsidRDefault="003B1437" w:rsidP="009B2A62">
      <w:pPr>
        <w:spacing w:after="0" w:line="480" w:lineRule="auto"/>
        <w:ind w:left="785" w:hangingChars="327" w:hanging="785"/>
        <w:rPr>
          <w:rFonts w:ascii="Times New Roman" w:hAnsi="Times New Roman" w:cs="Times New Roman"/>
          <w:sz w:val="24"/>
          <w:szCs w:val="24"/>
          <w:shd w:val="clear" w:color="auto" w:fill="FFFFFF"/>
        </w:rPr>
      </w:pPr>
      <w:r w:rsidRPr="009B2A62">
        <w:rPr>
          <w:rFonts w:ascii="Times New Roman" w:hAnsi="Times New Roman" w:cs="Times New Roman"/>
          <w:sz w:val="24"/>
          <w:szCs w:val="24"/>
          <w:shd w:val="clear" w:color="auto" w:fill="FFFFFF"/>
        </w:rPr>
        <w:t>Schulz, Kristina, ed. </w:t>
      </w:r>
      <w:r w:rsidRPr="009B2A62">
        <w:rPr>
          <w:rFonts w:ascii="Times New Roman" w:hAnsi="Times New Roman" w:cs="Times New Roman"/>
          <w:i/>
          <w:iCs/>
          <w:sz w:val="24"/>
          <w:szCs w:val="24"/>
          <w:shd w:val="clear" w:color="auto" w:fill="FFFFFF"/>
        </w:rPr>
        <w:t>The Women's Liberation Movement: Impacts and Outcomes</w:t>
      </w:r>
      <w:r w:rsidRPr="009B2A62">
        <w:rPr>
          <w:rFonts w:ascii="Times New Roman" w:hAnsi="Times New Roman" w:cs="Times New Roman"/>
          <w:sz w:val="24"/>
          <w:szCs w:val="24"/>
          <w:shd w:val="clear" w:color="auto" w:fill="FFFFFF"/>
        </w:rPr>
        <w:t>. Vol. 22. Berghahn Books, 2017.</w:t>
      </w:r>
    </w:p>
    <w:p w14:paraId="29FB276F" w14:textId="77777777" w:rsidR="0022749B" w:rsidRPr="009B2A62" w:rsidRDefault="003B1437" w:rsidP="00AD3597">
      <w:pPr>
        <w:spacing w:after="0" w:line="480" w:lineRule="auto"/>
        <w:ind w:firstLine="720"/>
        <w:rPr>
          <w:rFonts w:ascii="Times New Roman" w:hAnsi="Times New Roman" w:cs="Times New Roman"/>
          <w:sz w:val="24"/>
          <w:szCs w:val="24"/>
          <w:shd w:val="clear" w:color="auto" w:fill="FFFFFF"/>
        </w:rPr>
      </w:pPr>
      <w:r w:rsidRPr="0022749B">
        <w:rPr>
          <w:rFonts w:ascii="Times New Roman" w:hAnsi="Times New Roman" w:cs="Times New Roman"/>
          <w:sz w:val="24"/>
          <w:szCs w:val="24"/>
          <w:shd w:val="clear" w:color="auto" w:fill="FFFFFF"/>
        </w:rPr>
        <w:t>This book examines the initiatives that are associated with the Women’s Liberation Movement and how they have helped reshape different aspects of Western societies. Schulz presents collection of systematic investigation, which highlights the cumulative impacts and achievements of Women’s Liberation Movement. Based on the social movement theory, Schulz compares the development of Women’s Liberation Movement implicitly and explicitly. This book will serve also as my primary source of information in this research because it provides wide range of concepts that will help me analyze the impacts of Women’s Liberation Movement.</w:t>
      </w:r>
    </w:p>
    <w:p w14:paraId="23248765" w14:textId="77777777" w:rsidR="009B2A62" w:rsidRDefault="003B1437" w:rsidP="009B2A62">
      <w:pPr>
        <w:spacing w:after="0" w:line="480" w:lineRule="auto"/>
        <w:ind w:left="785" w:hangingChars="327" w:hanging="785"/>
        <w:rPr>
          <w:rFonts w:ascii="Times New Roman" w:hAnsi="Times New Roman" w:cs="Times New Roman"/>
          <w:sz w:val="24"/>
          <w:szCs w:val="24"/>
          <w:shd w:val="clear" w:color="auto" w:fill="FFFFFF"/>
        </w:rPr>
      </w:pPr>
      <w:r w:rsidRPr="009B2A62">
        <w:rPr>
          <w:rFonts w:ascii="Times New Roman" w:hAnsi="Times New Roman" w:cs="Times New Roman"/>
          <w:sz w:val="24"/>
          <w:szCs w:val="24"/>
          <w:shd w:val="clear" w:color="auto" w:fill="FFFFFF"/>
        </w:rPr>
        <w:t>G</w:t>
      </w:r>
      <w:r w:rsidR="00966A53" w:rsidRPr="009B2A62">
        <w:rPr>
          <w:rFonts w:ascii="Times New Roman" w:hAnsi="Times New Roman" w:cs="Times New Roman"/>
          <w:sz w:val="24"/>
          <w:szCs w:val="24"/>
          <w:shd w:val="clear" w:color="auto" w:fill="FFFFFF"/>
        </w:rPr>
        <w:t>horfati</w:t>
      </w:r>
      <w:r w:rsidRPr="009B2A62">
        <w:rPr>
          <w:rFonts w:ascii="Times New Roman" w:hAnsi="Times New Roman" w:cs="Times New Roman"/>
          <w:sz w:val="24"/>
          <w:szCs w:val="24"/>
          <w:shd w:val="clear" w:color="auto" w:fill="FFFFFF"/>
        </w:rPr>
        <w:t xml:space="preserve">, Amina, and Rabha </w:t>
      </w:r>
      <w:r w:rsidR="00966A53">
        <w:rPr>
          <w:rFonts w:ascii="Times New Roman" w:hAnsi="Times New Roman" w:cs="Times New Roman"/>
          <w:sz w:val="24"/>
          <w:szCs w:val="24"/>
          <w:shd w:val="clear" w:color="auto" w:fill="FFFFFF"/>
        </w:rPr>
        <w:t>M</w:t>
      </w:r>
      <w:r w:rsidR="00966A53" w:rsidRPr="009B2A62">
        <w:rPr>
          <w:rFonts w:ascii="Times New Roman" w:hAnsi="Times New Roman" w:cs="Times New Roman"/>
          <w:sz w:val="24"/>
          <w:szCs w:val="24"/>
          <w:shd w:val="clear" w:color="auto" w:fill="FFFFFF"/>
        </w:rPr>
        <w:t>edini.</w:t>
      </w:r>
      <w:r w:rsidRPr="009B2A62">
        <w:rPr>
          <w:rFonts w:ascii="Times New Roman" w:hAnsi="Times New Roman" w:cs="Times New Roman"/>
          <w:sz w:val="24"/>
          <w:szCs w:val="24"/>
          <w:shd w:val="clear" w:color="auto" w:fill="FFFFFF"/>
        </w:rPr>
        <w:t xml:space="preserve"> "Feminism and its Impact On woman in the Modern Society." PhD diss., 2015.</w:t>
      </w:r>
    </w:p>
    <w:p w14:paraId="4B6AFEC3" w14:textId="77777777" w:rsidR="002A2F32" w:rsidRPr="009B2A62" w:rsidRDefault="003B1437" w:rsidP="002A2F32">
      <w:pPr>
        <w:spacing w:after="0" w:line="480" w:lineRule="auto"/>
        <w:ind w:firstLine="720"/>
        <w:rPr>
          <w:rFonts w:ascii="Times New Roman" w:hAnsi="Times New Roman" w:cs="Times New Roman"/>
          <w:sz w:val="24"/>
          <w:szCs w:val="24"/>
          <w:shd w:val="clear" w:color="auto" w:fill="FFFFFF"/>
        </w:rPr>
      </w:pPr>
      <w:r w:rsidRPr="002A2F32">
        <w:rPr>
          <w:rFonts w:ascii="Times New Roman" w:hAnsi="Times New Roman" w:cs="Times New Roman"/>
          <w:sz w:val="24"/>
          <w:szCs w:val="24"/>
          <w:shd w:val="clear" w:color="auto" w:fill="FFFFFF"/>
        </w:rPr>
        <w:lastRenderedPageBreak/>
        <w:t>This article examines the challenges and barriers experienced by women and how they managed to become important members of the society today. This historical analysis examines the wishes, dreams, and ability of women to change their position and how the society perceives them. Based on the feminist effort, this research analyzes how women brought significant changes in the society. It further explores how women managed to eradicate the stereotypical perception and obtain more importance in the society by acquiring the political, economic, and social rights. This article will be the primary basis of the political, social, and economic impacts of Women’s Liberation Movement.</w:t>
      </w:r>
    </w:p>
    <w:p w14:paraId="62BC6D35" w14:textId="77777777" w:rsidR="009B2A62" w:rsidRDefault="003B1437" w:rsidP="009B2A62">
      <w:pPr>
        <w:spacing w:after="0" w:line="480" w:lineRule="auto"/>
        <w:ind w:left="785" w:hangingChars="327" w:hanging="785"/>
        <w:rPr>
          <w:rFonts w:ascii="Times New Roman" w:hAnsi="Times New Roman" w:cs="Times New Roman"/>
          <w:sz w:val="24"/>
          <w:szCs w:val="24"/>
          <w:shd w:val="clear" w:color="auto" w:fill="FFFFFF"/>
        </w:rPr>
      </w:pPr>
      <w:r w:rsidRPr="009B2A62">
        <w:rPr>
          <w:rFonts w:ascii="Times New Roman" w:hAnsi="Times New Roman" w:cs="Times New Roman"/>
          <w:sz w:val="24"/>
          <w:szCs w:val="24"/>
          <w:shd w:val="clear" w:color="auto" w:fill="FFFFFF"/>
        </w:rPr>
        <w:t>Magarey, Susan. "Women's Liberation was a Movement, Not an Organi</w:t>
      </w:r>
      <w:r w:rsidR="002A2F32">
        <w:rPr>
          <w:rFonts w:ascii="Times New Roman" w:hAnsi="Times New Roman" w:cs="Times New Roman"/>
          <w:sz w:val="24"/>
          <w:szCs w:val="24"/>
          <w:shd w:val="clear" w:color="auto" w:fill="FFFFFF"/>
        </w:rPr>
        <w:t>z</w:t>
      </w:r>
      <w:r w:rsidRPr="009B2A62">
        <w:rPr>
          <w:rFonts w:ascii="Times New Roman" w:hAnsi="Times New Roman" w:cs="Times New Roman"/>
          <w:sz w:val="24"/>
          <w:szCs w:val="24"/>
          <w:shd w:val="clear" w:color="auto" w:fill="FFFFFF"/>
        </w:rPr>
        <w:t>ation." </w:t>
      </w:r>
      <w:r w:rsidRPr="009B2A62">
        <w:rPr>
          <w:rFonts w:ascii="Times New Roman" w:hAnsi="Times New Roman" w:cs="Times New Roman"/>
          <w:i/>
          <w:iCs/>
          <w:sz w:val="24"/>
          <w:szCs w:val="24"/>
          <w:shd w:val="clear" w:color="auto" w:fill="FFFFFF"/>
        </w:rPr>
        <w:t>Australian Feminist Studies</w:t>
      </w:r>
      <w:r w:rsidRPr="009B2A62">
        <w:rPr>
          <w:rFonts w:ascii="Times New Roman" w:hAnsi="Times New Roman" w:cs="Times New Roman"/>
          <w:sz w:val="24"/>
          <w:szCs w:val="24"/>
          <w:shd w:val="clear" w:color="auto" w:fill="FFFFFF"/>
        </w:rPr>
        <w:t> 29, no. 82 (2014): 378-390.</w:t>
      </w:r>
    </w:p>
    <w:p w14:paraId="71B67972" w14:textId="77777777" w:rsidR="002A2F32" w:rsidRPr="009B2A62" w:rsidRDefault="003B1437" w:rsidP="00AF1A7A">
      <w:pPr>
        <w:spacing w:after="0" w:line="480" w:lineRule="auto"/>
        <w:ind w:firstLine="720"/>
        <w:rPr>
          <w:rFonts w:ascii="Times New Roman" w:hAnsi="Times New Roman" w:cs="Times New Roman"/>
          <w:sz w:val="24"/>
          <w:szCs w:val="24"/>
          <w:shd w:val="clear" w:color="auto" w:fill="FFFFFF"/>
        </w:rPr>
      </w:pPr>
      <w:bookmarkStart w:id="1" w:name="_Hlk522396635"/>
      <w:r w:rsidRPr="00AF1A7A">
        <w:rPr>
          <w:rFonts w:ascii="Times New Roman" w:hAnsi="Times New Roman" w:cs="Times New Roman"/>
          <w:sz w:val="24"/>
          <w:szCs w:val="24"/>
          <w:shd w:val="clear" w:color="auto" w:fill="FFFFFF"/>
        </w:rPr>
        <w:t>This book examines the history of women’s liberation in Australia. The author highlights the policies, challenges and positive impacts of the women’s liberation. The book also examines the pre-history of the women’s liberation movement before the 1970s. This study also discusses the economic and cultural concepts of women’s liberation movement. This book will also serve as my primary source of information because it explains more women’s liberation movement concepts that will help me analyze the start and development of the liberation.</w:t>
      </w:r>
      <w:bookmarkEnd w:id="1"/>
    </w:p>
    <w:p w14:paraId="005DF989" w14:textId="77777777" w:rsidR="009B2A62" w:rsidRPr="009B2A62" w:rsidRDefault="003B1437" w:rsidP="009B2A62">
      <w:pPr>
        <w:spacing w:after="0" w:line="480" w:lineRule="auto"/>
        <w:ind w:left="788" w:hangingChars="327" w:hanging="788"/>
        <w:rPr>
          <w:rFonts w:ascii="Times New Roman" w:hAnsi="Times New Roman" w:cs="Times New Roman"/>
          <w:b/>
          <w:sz w:val="24"/>
          <w:szCs w:val="24"/>
        </w:rPr>
      </w:pPr>
      <w:r w:rsidRPr="009B2A62">
        <w:rPr>
          <w:rFonts w:ascii="Times New Roman" w:hAnsi="Times New Roman" w:cs="Times New Roman"/>
          <w:b/>
          <w:sz w:val="24"/>
          <w:szCs w:val="24"/>
        </w:rPr>
        <w:t xml:space="preserve">Secondary Sources </w:t>
      </w:r>
    </w:p>
    <w:p w14:paraId="303ABEA2" w14:textId="77777777" w:rsidR="006A41A6" w:rsidRDefault="003B1437" w:rsidP="009B2A62">
      <w:pPr>
        <w:spacing w:after="0" w:line="480" w:lineRule="auto"/>
        <w:ind w:left="785" w:hangingChars="327" w:hanging="785"/>
        <w:rPr>
          <w:rFonts w:ascii="Times New Roman" w:hAnsi="Times New Roman" w:cs="Times New Roman"/>
          <w:sz w:val="24"/>
          <w:szCs w:val="24"/>
          <w:shd w:val="clear" w:color="auto" w:fill="FFFFFF"/>
        </w:rPr>
      </w:pPr>
      <w:r w:rsidRPr="009B2A62">
        <w:rPr>
          <w:rFonts w:ascii="Times New Roman" w:hAnsi="Times New Roman" w:cs="Times New Roman"/>
          <w:sz w:val="24"/>
          <w:szCs w:val="24"/>
          <w:shd w:val="clear" w:color="auto" w:fill="FFFFFF"/>
        </w:rPr>
        <w:t>Butler, Judith. "Sex and gender in Simone de Beauvoir's Second Sex." </w:t>
      </w:r>
      <w:r w:rsidRPr="009B2A62">
        <w:rPr>
          <w:rFonts w:ascii="Times New Roman" w:hAnsi="Times New Roman" w:cs="Times New Roman"/>
          <w:i/>
          <w:iCs/>
          <w:sz w:val="24"/>
          <w:szCs w:val="24"/>
          <w:shd w:val="clear" w:color="auto" w:fill="FFFFFF"/>
        </w:rPr>
        <w:t>Yale French Studies</w:t>
      </w:r>
      <w:r w:rsidRPr="009B2A62">
        <w:rPr>
          <w:rFonts w:ascii="Times New Roman" w:hAnsi="Times New Roman" w:cs="Times New Roman"/>
          <w:sz w:val="24"/>
          <w:szCs w:val="24"/>
          <w:shd w:val="clear" w:color="auto" w:fill="FFFFFF"/>
        </w:rPr>
        <w:t> 72 (1986): 35-49.</w:t>
      </w:r>
    </w:p>
    <w:p w14:paraId="58B019BA" w14:textId="77777777" w:rsidR="00B87129" w:rsidRPr="009B2A62" w:rsidRDefault="003B1437" w:rsidP="00133BCD">
      <w:pPr>
        <w:spacing w:after="0" w:line="480" w:lineRule="auto"/>
        <w:ind w:firstLine="720"/>
        <w:rPr>
          <w:rFonts w:ascii="Times New Roman" w:hAnsi="Times New Roman" w:cs="Times New Roman"/>
          <w:sz w:val="24"/>
          <w:szCs w:val="24"/>
          <w:shd w:val="clear" w:color="auto" w:fill="FFFFFF"/>
        </w:rPr>
      </w:pPr>
      <w:r w:rsidRPr="00B87129">
        <w:rPr>
          <w:rFonts w:ascii="Times New Roman" w:hAnsi="Times New Roman" w:cs="Times New Roman"/>
          <w:sz w:val="24"/>
          <w:szCs w:val="24"/>
          <w:shd w:val="clear" w:color="auto" w:fill="FFFFFF"/>
        </w:rPr>
        <w:t>Butler also uses de Beauvoir’s text to analyze the sex and gender issues in the Western societies. This article also uses some of the famous quotes by de Beauvoir like “one is not born, but rather becomes, a woman (35). The author distinguishes de Beauvoir’s formulation of sex and gender. Based on de Beauvoir’s distinction of these concepts, Butler explains the long-</w:t>
      </w:r>
      <w:r w:rsidRPr="00B87129">
        <w:rPr>
          <w:rFonts w:ascii="Times New Roman" w:hAnsi="Times New Roman" w:cs="Times New Roman"/>
          <w:sz w:val="24"/>
          <w:szCs w:val="24"/>
          <w:shd w:val="clear" w:color="auto" w:fill="FFFFFF"/>
        </w:rPr>
        <w:lastRenderedPageBreak/>
        <w:t>standing feminist efforts to distinguish the claim that anatomy is destiny. This article further provides definition to various terms such as “sex” and “gender” that will help in my research to explain the presumptuous relationship between gender and sex</w:t>
      </w:r>
      <w:r>
        <w:rPr>
          <w:rFonts w:ascii="Times New Roman" w:hAnsi="Times New Roman" w:cs="Times New Roman"/>
          <w:sz w:val="24"/>
          <w:szCs w:val="24"/>
          <w:shd w:val="clear" w:color="auto" w:fill="FFFFFF"/>
        </w:rPr>
        <w:t>.</w:t>
      </w:r>
    </w:p>
    <w:p w14:paraId="76D7EABB" w14:textId="77777777" w:rsidR="006A41A6" w:rsidRDefault="003B1437" w:rsidP="009B2A62">
      <w:pPr>
        <w:spacing w:after="0" w:line="480" w:lineRule="auto"/>
        <w:ind w:left="785" w:hangingChars="327" w:hanging="785"/>
        <w:rPr>
          <w:rFonts w:ascii="Times New Roman" w:hAnsi="Times New Roman" w:cs="Times New Roman"/>
          <w:sz w:val="24"/>
          <w:szCs w:val="24"/>
          <w:shd w:val="clear" w:color="auto" w:fill="FFFFFF"/>
        </w:rPr>
      </w:pPr>
      <w:r w:rsidRPr="009B2A62">
        <w:rPr>
          <w:rFonts w:ascii="Times New Roman" w:hAnsi="Times New Roman" w:cs="Times New Roman"/>
          <w:sz w:val="24"/>
          <w:szCs w:val="24"/>
          <w:shd w:val="clear" w:color="auto" w:fill="FFFFFF"/>
        </w:rPr>
        <w:t>Doepke, Matthias, and Michele Tertilt. "Women's Liberation: What's in it for Men?" </w:t>
      </w:r>
      <w:r w:rsidRPr="009B2A62">
        <w:rPr>
          <w:rFonts w:ascii="Times New Roman" w:hAnsi="Times New Roman" w:cs="Times New Roman"/>
          <w:i/>
          <w:iCs/>
          <w:sz w:val="24"/>
          <w:szCs w:val="24"/>
          <w:shd w:val="clear" w:color="auto" w:fill="FFFFFF"/>
        </w:rPr>
        <w:t>The Quarterly Journal of Economics</w:t>
      </w:r>
      <w:r w:rsidRPr="009B2A62">
        <w:rPr>
          <w:rFonts w:ascii="Times New Roman" w:hAnsi="Times New Roman" w:cs="Times New Roman"/>
          <w:sz w:val="24"/>
          <w:szCs w:val="24"/>
          <w:shd w:val="clear" w:color="auto" w:fill="FFFFFF"/>
        </w:rPr>
        <w:t>124, no. 4 (2009): 1541-1591.</w:t>
      </w:r>
    </w:p>
    <w:p w14:paraId="5454F2EE" w14:textId="77777777" w:rsidR="00133BCD" w:rsidRPr="009B2A62" w:rsidRDefault="003B1437" w:rsidP="00133BCD">
      <w:pPr>
        <w:spacing w:after="0" w:line="480" w:lineRule="auto"/>
        <w:ind w:firstLine="720"/>
        <w:rPr>
          <w:rFonts w:ascii="Times New Roman" w:hAnsi="Times New Roman" w:cs="Times New Roman"/>
          <w:sz w:val="24"/>
          <w:szCs w:val="24"/>
          <w:shd w:val="clear" w:color="auto" w:fill="FFFFFF"/>
        </w:rPr>
      </w:pPr>
      <w:r w:rsidRPr="00133BCD">
        <w:rPr>
          <w:rFonts w:ascii="Times New Roman" w:hAnsi="Times New Roman" w:cs="Times New Roman"/>
          <w:sz w:val="24"/>
          <w:szCs w:val="24"/>
          <w:shd w:val="clear" w:color="auto" w:fill="FFFFFF"/>
        </w:rPr>
        <w:t>This article examines the historical analysis of women’s liberation movement in the 19</w:t>
      </w:r>
      <w:r w:rsidRPr="00133BCD">
        <w:rPr>
          <w:rFonts w:ascii="Times New Roman" w:hAnsi="Times New Roman" w:cs="Times New Roman"/>
          <w:sz w:val="24"/>
          <w:szCs w:val="24"/>
          <w:shd w:val="clear" w:color="auto" w:fill="FFFFFF"/>
          <w:vertAlign w:val="superscript"/>
        </w:rPr>
        <w:t>th</w:t>
      </w:r>
      <w:r w:rsidRPr="00133BCD">
        <w:rPr>
          <w:rFonts w:ascii="Times New Roman" w:hAnsi="Times New Roman" w:cs="Times New Roman"/>
          <w:sz w:val="24"/>
          <w:szCs w:val="24"/>
          <w:shd w:val="clear" w:color="auto" w:fill="FFFFFF"/>
        </w:rPr>
        <w:t xml:space="preserve"> century. The authors examine the changes and improvements that witnessed in the 19</w:t>
      </w:r>
      <w:r w:rsidRPr="00133BCD">
        <w:rPr>
          <w:rFonts w:ascii="Times New Roman" w:hAnsi="Times New Roman" w:cs="Times New Roman"/>
          <w:sz w:val="24"/>
          <w:szCs w:val="24"/>
          <w:shd w:val="clear" w:color="auto" w:fill="FFFFFF"/>
          <w:vertAlign w:val="superscript"/>
        </w:rPr>
        <w:t>th</w:t>
      </w:r>
      <w:r w:rsidRPr="00133BCD">
        <w:rPr>
          <w:rFonts w:ascii="Times New Roman" w:hAnsi="Times New Roman" w:cs="Times New Roman"/>
          <w:sz w:val="24"/>
          <w:szCs w:val="24"/>
          <w:shd w:val="clear" w:color="auto" w:fill="FFFFFF"/>
        </w:rPr>
        <w:t xml:space="preserve"> century, especially relating to the legal rights of the married women. The article starts by providing a definitive analysis of the term “women’s liberation.” Further, the article discusses the challenges and barriers that women experienced in the early 19</w:t>
      </w:r>
      <w:r w:rsidRPr="00133BCD">
        <w:rPr>
          <w:rFonts w:ascii="Times New Roman" w:hAnsi="Times New Roman" w:cs="Times New Roman"/>
          <w:sz w:val="24"/>
          <w:szCs w:val="24"/>
          <w:shd w:val="clear" w:color="auto" w:fill="FFFFFF"/>
          <w:vertAlign w:val="superscript"/>
        </w:rPr>
        <w:t>th</w:t>
      </w:r>
      <w:r w:rsidRPr="00133BCD">
        <w:rPr>
          <w:rFonts w:ascii="Times New Roman" w:hAnsi="Times New Roman" w:cs="Times New Roman"/>
          <w:sz w:val="24"/>
          <w:szCs w:val="24"/>
          <w:shd w:val="clear" w:color="auto" w:fill="FFFFFF"/>
        </w:rPr>
        <w:t xml:space="preserve"> century and there before the Women’s liberation. This article will help me in my research to analyze the historical background of women’s liberation. Based on the historical analysis of the laws and customs of various societies, this article will also help me to understand the legal barriers that women experienced.</w:t>
      </w:r>
    </w:p>
    <w:p w14:paraId="59F87CFC" w14:textId="77777777" w:rsidR="006A41A6" w:rsidRDefault="003B1437" w:rsidP="009B2A62">
      <w:pPr>
        <w:spacing w:after="0" w:line="480" w:lineRule="auto"/>
        <w:ind w:left="785" w:hangingChars="327" w:hanging="785"/>
        <w:rPr>
          <w:rFonts w:ascii="Times New Roman" w:hAnsi="Times New Roman" w:cs="Times New Roman"/>
          <w:sz w:val="24"/>
          <w:szCs w:val="24"/>
          <w:shd w:val="clear" w:color="auto" w:fill="FFFFFF"/>
        </w:rPr>
      </w:pPr>
      <w:r w:rsidRPr="009B2A62">
        <w:rPr>
          <w:rFonts w:ascii="Times New Roman" w:hAnsi="Times New Roman" w:cs="Times New Roman"/>
          <w:sz w:val="24"/>
          <w:szCs w:val="24"/>
          <w:shd w:val="clear" w:color="auto" w:fill="FFFFFF"/>
        </w:rPr>
        <w:t>Gianoulis, Tina. "Women’s liberation movement." </w:t>
      </w:r>
      <w:r w:rsidRPr="009B2A62">
        <w:rPr>
          <w:rFonts w:ascii="Times New Roman" w:hAnsi="Times New Roman" w:cs="Times New Roman"/>
          <w:i/>
          <w:iCs/>
          <w:sz w:val="24"/>
          <w:szCs w:val="24"/>
          <w:shd w:val="clear" w:color="auto" w:fill="FFFFFF"/>
        </w:rPr>
        <w:t>Glbtq: An encyclopedia of gay, lesbian, bisexual, transgender and queer culture</w:t>
      </w:r>
      <w:r w:rsidRPr="009B2A62">
        <w:rPr>
          <w:rFonts w:ascii="Times New Roman" w:hAnsi="Times New Roman" w:cs="Times New Roman"/>
          <w:sz w:val="24"/>
          <w:szCs w:val="24"/>
          <w:shd w:val="clear" w:color="auto" w:fill="FFFFFF"/>
        </w:rPr>
        <w:t> (2004).</w:t>
      </w:r>
    </w:p>
    <w:p w14:paraId="2CDFB84C" w14:textId="77777777" w:rsidR="00920323" w:rsidRPr="009B2A62" w:rsidRDefault="003B1437" w:rsidP="00920323">
      <w:pPr>
        <w:spacing w:after="0" w:line="480" w:lineRule="auto"/>
        <w:ind w:firstLine="720"/>
        <w:rPr>
          <w:rFonts w:ascii="Times New Roman" w:hAnsi="Times New Roman" w:cs="Times New Roman"/>
          <w:sz w:val="24"/>
          <w:szCs w:val="24"/>
          <w:shd w:val="clear" w:color="auto" w:fill="FFFFFF"/>
        </w:rPr>
      </w:pPr>
      <w:r w:rsidRPr="00920323">
        <w:rPr>
          <w:rFonts w:ascii="Times New Roman" w:hAnsi="Times New Roman" w:cs="Times New Roman"/>
          <w:sz w:val="24"/>
          <w:szCs w:val="24"/>
          <w:shd w:val="clear" w:color="auto" w:fill="FFFFFF"/>
        </w:rPr>
        <w:t xml:space="preserve">This article, authored by Tina Gianoulis examines the historical background of the Women's liberation movement. This article begins its analysis from the 1940s while examining the roots of the Women's liberation movement. She highlights some of the factors that motivated the creation of women's liberation movement. Among the factors she highlights include the civil unrest in the 1960s that stemmed from the social changes that happened during the previous decades. She also discusses how conditions improved in the 1960s including the establishment of the Equal Employment Opportunity Commission and National Organization for Women. This </w:t>
      </w:r>
      <w:r w:rsidRPr="00920323">
        <w:rPr>
          <w:rFonts w:ascii="Times New Roman" w:hAnsi="Times New Roman" w:cs="Times New Roman"/>
          <w:sz w:val="24"/>
          <w:szCs w:val="24"/>
          <w:shd w:val="clear" w:color="auto" w:fill="FFFFFF"/>
        </w:rPr>
        <w:lastRenderedPageBreak/>
        <w:t>article will assist me in my research to analyze the economic and social impacts related to Women’s Liberation Movement.</w:t>
      </w:r>
    </w:p>
    <w:p w14:paraId="3A17F2D9" w14:textId="77777777" w:rsidR="006A41A6" w:rsidRDefault="003B1437" w:rsidP="009B2A62">
      <w:pPr>
        <w:spacing w:after="0" w:line="480" w:lineRule="auto"/>
        <w:ind w:left="785" w:hangingChars="327" w:hanging="785"/>
        <w:rPr>
          <w:rFonts w:ascii="Times New Roman" w:hAnsi="Times New Roman" w:cs="Times New Roman"/>
          <w:sz w:val="24"/>
          <w:szCs w:val="24"/>
          <w:shd w:val="clear" w:color="auto" w:fill="FFFFFF"/>
        </w:rPr>
      </w:pPr>
      <w:r w:rsidRPr="009B2A62">
        <w:rPr>
          <w:rFonts w:ascii="Times New Roman" w:hAnsi="Times New Roman" w:cs="Times New Roman"/>
          <w:sz w:val="24"/>
          <w:szCs w:val="24"/>
          <w:shd w:val="clear" w:color="auto" w:fill="FFFFFF"/>
        </w:rPr>
        <w:t>Haines, Hallie Grace. "Modernizing the Marianne: The French Feminist Movement and its Effects on Gender Equality." PhD diss., The University of Mississippi, 2015.</w:t>
      </w:r>
    </w:p>
    <w:p w14:paraId="43CC3AE2" w14:textId="77777777" w:rsidR="00555D68" w:rsidRPr="009B2A62" w:rsidRDefault="003B1437" w:rsidP="00555D68">
      <w:pPr>
        <w:spacing w:after="0" w:line="480" w:lineRule="auto"/>
        <w:rPr>
          <w:rFonts w:ascii="Times New Roman" w:hAnsi="Times New Roman" w:cs="Times New Roman"/>
          <w:sz w:val="24"/>
          <w:szCs w:val="24"/>
          <w:shd w:val="clear" w:color="auto" w:fill="FFFFFF"/>
        </w:rPr>
      </w:pPr>
      <w:r w:rsidRPr="00555D68">
        <w:rPr>
          <w:rFonts w:ascii="Times New Roman" w:hAnsi="Times New Roman" w:cs="Times New Roman"/>
          <w:sz w:val="24"/>
          <w:szCs w:val="24"/>
          <w:shd w:val="clear" w:color="auto" w:fill="FFFFFF"/>
        </w:rPr>
        <w:t>Haines examines how modern women have been inspired by the early great women like Marianne. Marianne was a French feminist politician who inspired many women in France and across Europe at large. She analyzes the role of women during the French Revolution in 1789, and how it defined the political landscape of the French society. This article relates the modern woman and the early heroines like Marianne. The article will help me in research to analyze the political impacts of Women’s Liberation Movement.</w:t>
      </w:r>
    </w:p>
    <w:p w14:paraId="0CFBD7F5" w14:textId="77777777" w:rsidR="006A41A6" w:rsidRDefault="003B1437" w:rsidP="009B2A62">
      <w:pPr>
        <w:spacing w:after="0" w:line="480" w:lineRule="auto"/>
        <w:ind w:left="785" w:hangingChars="327" w:hanging="785"/>
        <w:rPr>
          <w:rFonts w:ascii="Times New Roman" w:hAnsi="Times New Roman" w:cs="Times New Roman"/>
          <w:sz w:val="24"/>
          <w:szCs w:val="24"/>
          <w:shd w:val="clear" w:color="auto" w:fill="FFFFFF"/>
        </w:rPr>
      </w:pPr>
      <w:r w:rsidRPr="009B2A62">
        <w:rPr>
          <w:rFonts w:ascii="Times New Roman" w:hAnsi="Times New Roman" w:cs="Times New Roman"/>
          <w:sz w:val="24"/>
          <w:szCs w:val="24"/>
          <w:shd w:val="clear" w:color="auto" w:fill="FFFFFF"/>
        </w:rPr>
        <w:t>McLellan, Josie. "The ‘Problem of Women’</w:t>
      </w:r>
      <w:r w:rsidR="00990ECF">
        <w:rPr>
          <w:rFonts w:ascii="Times New Roman" w:hAnsi="Times New Roman" w:cs="Times New Roman"/>
          <w:sz w:val="24"/>
          <w:szCs w:val="24"/>
          <w:shd w:val="clear" w:color="auto" w:fill="FFFFFF"/>
        </w:rPr>
        <w:t xml:space="preserve"> </w:t>
      </w:r>
      <w:r w:rsidRPr="009B2A62">
        <w:rPr>
          <w:rFonts w:ascii="Times New Roman" w:hAnsi="Times New Roman" w:cs="Times New Roman"/>
          <w:sz w:val="24"/>
          <w:szCs w:val="24"/>
          <w:shd w:val="clear" w:color="auto" w:fill="FFFFFF"/>
        </w:rPr>
        <w:t>in Post-War Europe." (2015): 934-944.</w:t>
      </w:r>
    </w:p>
    <w:p w14:paraId="34987C0A" w14:textId="77777777" w:rsidR="00990ECF" w:rsidRPr="009B2A62" w:rsidRDefault="003B1437" w:rsidP="00990ECF">
      <w:pPr>
        <w:spacing w:after="0" w:line="480" w:lineRule="auto"/>
        <w:ind w:firstLine="720"/>
        <w:rPr>
          <w:rFonts w:ascii="Times New Roman" w:hAnsi="Times New Roman" w:cs="Times New Roman"/>
          <w:sz w:val="24"/>
          <w:szCs w:val="24"/>
          <w:shd w:val="clear" w:color="auto" w:fill="FFFFFF"/>
        </w:rPr>
      </w:pPr>
      <w:r w:rsidRPr="00990ECF">
        <w:rPr>
          <w:rFonts w:ascii="Times New Roman" w:hAnsi="Times New Roman" w:cs="Times New Roman"/>
          <w:sz w:val="24"/>
          <w:szCs w:val="24"/>
          <w:shd w:val="clear" w:color="auto" w:fill="FFFFFF"/>
        </w:rPr>
        <w:t>This article examines the challenges that women faced after the World Wars in Europe. Starting from 1947 after the Second World War, the author examines the role of the United Nations' Commission in agitating for the women's rights. Gender inequality is among the problems that women experienced after the World War I and II. The author explains how women were considered the second gender because they were not given the same opportunities as men. However, the creation and distribution of birth control pills created opportunities for women to question the obligatory responsibilities that the men used to keep them in their place. This article will help in my research to explain the challenges or barriers that women faced before the Women's Liberation Movement.</w:t>
      </w:r>
    </w:p>
    <w:p w14:paraId="2E417575" w14:textId="77777777" w:rsidR="006A41A6" w:rsidRDefault="003B1437" w:rsidP="009B2A62">
      <w:pPr>
        <w:spacing w:after="0" w:line="480" w:lineRule="auto"/>
        <w:ind w:left="785" w:hangingChars="327" w:hanging="785"/>
        <w:rPr>
          <w:rFonts w:ascii="Times New Roman" w:hAnsi="Times New Roman" w:cs="Times New Roman"/>
          <w:sz w:val="24"/>
          <w:szCs w:val="24"/>
          <w:shd w:val="clear" w:color="auto" w:fill="FFFFFF"/>
        </w:rPr>
      </w:pPr>
      <w:r w:rsidRPr="009B2A62">
        <w:rPr>
          <w:rFonts w:ascii="Times New Roman" w:hAnsi="Times New Roman" w:cs="Times New Roman"/>
          <w:sz w:val="24"/>
          <w:szCs w:val="24"/>
          <w:shd w:val="clear" w:color="auto" w:fill="FFFFFF"/>
        </w:rPr>
        <w:t>Rice, Joy K., and David G. Rice. "Implications of the women's liberation movement for psychotherapy." </w:t>
      </w:r>
      <w:r w:rsidRPr="009B2A62">
        <w:rPr>
          <w:rFonts w:ascii="Times New Roman" w:hAnsi="Times New Roman" w:cs="Times New Roman"/>
          <w:i/>
          <w:iCs/>
          <w:sz w:val="24"/>
          <w:szCs w:val="24"/>
          <w:shd w:val="clear" w:color="auto" w:fill="FFFFFF"/>
        </w:rPr>
        <w:t>American Journal of Psychiatry</w:t>
      </w:r>
      <w:r w:rsidRPr="009B2A62">
        <w:rPr>
          <w:rFonts w:ascii="Times New Roman" w:hAnsi="Times New Roman" w:cs="Times New Roman"/>
          <w:sz w:val="24"/>
          <w:szCs w:val="24"/>
          <w:shd w:val="clear" w:color="auto" w:fill="FFFFFF"/>
        </w:rPr>
        <w:t> 130, no. 2 (1973): 191-196.</w:t>
      </w:r>
    </w:p>
    <w:p w14:paraId="2043C4C6" w14:textId="77777777" w:rsidR="00471CAB" w:rsidRPr="009B2A62" w:rsidRDefault="003B1437" w:rsidP="00346C15">
      <w:pPr>
        <w:spacing w:after="0" w:line="480" w:lineRule="auto"/>
        <w:ind w:firstLine="720"/>
        <w:rPr>
          <w:rFonts w:ascii="Times New Roman" w:hAnsi="Times New Roman" w:cs="Times New Roman"/>
          <w:sz w:val="24"/>
          <w:szCs w:val="24"/>
          <w:shd w:val="clear" w:color="auto" w:fill="FFFFFF"/>
        </w:rPr>
      </w:pPr>
      <w:r w:rsidRPr="00471CAB">
        <w:rPr>
          <w:rFonts w:ascii="Times New Roman" w:hAnsi="Times New Roman" w:cs="Times New Roman"/>
          <w:sz w:val="24"/>
          <w:szCs w:val="24"/>
          <w:shd w:val="clear" w:color="auto" w:fill="FFFFFF"/>
        </w:rPr>
        <w:lastRenderedPageBreak/>
        <w:t>This article examines the impacts of women’s liberation movement for psychotherapy. The authors suggest that women can eradicate or solve the problems they face with banding together. The article highlights the social challenges including the unhappiness created by mental health which reduces their contribution to the society. This article will assist me in my research to analyze the challenges or barriers that women faced before women’s liberation movement.</w:t>
      </w:r>
    </w:p>
    <w:p w14:paraId="62E0AD67" w14:textId="77777777" w:rsidR="006A41A6" w:rsidRDefault="003B1437" w:rsidP="009B2A62">
      <w:pPr>
        <w:spacing w:after="0" w:line="480" w:lineRule="auto"/>
        <w:ind w:left="785" w:hangingChars="327" w:hanging="785"/>
        <w:rPr>
          <w:rFonts w:ascii="Times New Roman" w:hAnsi="Times New Roman" w:cs="Times New Roman"/>
          <w:sz w:val="24"/>
          <w:szCs w:val="24"/>
          <w:shd w:val="clear" w:color="auto" w:fill="FFFFFF"/>
        </w:rPr>
      </w:pPr>
      <w:r w:rsidRPr="009B2A62">
        <w:rPr>
          <w:rFonts w:ascii="Times New Roman" w:hAnsi="Times New Roman" w:cs="Times New Roman"/>
          <w:sz w:val="24"/>
          <w:szCs w:val="24"/>
          <w:shd w:val="clear" w:color="auto" w:fill="FFFFFF"/>
        </w:rPr>
        <w:t>Shostak, Arthur B. "The women's liberation movement and its various impacts on American men." </w:t>
      </w:r>
      <w:r w:rsidRPr="009B2A62">
        <w:rPr>
          <w:rFonts w:ascii="Times New Roman" w:hAnsi="Times New Roman" w:cs="Times New Roman"/>
          <w:i/>
          <w:iCs/>
          <w:sz w:val="24"/>
          <w:szCs w:val="24"/>
          <w:shd w:val="clear" w:color="auto" w:fill="FFFFFF"/>
        </w:rPr>
        <w:t>J. Soc. &amp; Soc. Welfare</w:t>
      </w:r>
      <w:r w:rsidRPr="009B2A62">
        <w:rPr>
          <w:rFonts w:ascii="Times New Roman" w:hAnsi="Times New Roman" w:cs="Times New Roman"/>
          <w:sz w:val="24"/>
          <w:szCs w:val="24"/>
          <w:shd w:val="clear" w:color="auto" w:fill="FFFFFF"/>
        </w:rPr>
        <w:t> 4 (1976): 897.</w:t>
      </w:r>
    </w:p>
    <w:p w14:paraId="60694193" w14:textId="77777777" w:rsidR="00346C15" w:rsidRPr="009B2A62" w:rsidRDefault="003B1437" w:rsidP="00346C15">
      <w:pPr>
        <w:spacing w:after="0" w:line="480" w:lineRule="auto"/>
        <w:ind w:firstLine="720"/>
        <w:rPr>
          <w:rFonts w:ascii="Times New Roman" w:hAnsi="Times New Roman" w:cs="Times New Roman"/>
          <w:sz w:val="24"/>
          <w:szCs w:val="24"/>
          <w:shd w:val="clear" w:color="auto" w:fill="FFFFFF"/>
        </w:rPr>
      </w:pPr>
      <w:r w:rsidRPr="00346C15">
        <w:rPr>
          <w:rFonts w:ascii="Times New Roman" w:hAnsi="Times New Roman" w:cs="Times New Roman"/>
          <w:sz w:val="24"/>
          <w:szCs w:val="24"/>
          <w:shd w:val="clear" w:color="auto" w:fill="FFFFFF"/>
        </w:rPr>
        <w:t>This article examines the women’s liberation movement and its impacts on men. The author, Shostak examines from the perspective of the woman from the 1970s. The article also examines the challenges that women of the 1970s experienced. Further, the article examines the importance of conscious-raising in changing the perception of both women and men in the society. This article will help me in my research to analyze the challenges that women faced before and even after the Women’s Liberation Movement.</w:t>
      </w:r>
    </w:p>
    <w:p w14:paraId="41059997" w14:textId="77777777" w:rsidR="006A41A6" w:rsidRDefault="003B1437" w:rsidP="009B2A62">
      <w:pPr>
        <w:spacing w:after="0" w:line="480" w:lineRule="auto"/>
        <w:ind w:left="785" w:hangingChars="327" w:hanging="785"/>
        <w:rPr>
          <w:rFonts w:ascii="Times New Roman" w:hAnsi="Times New Roman" w:cs="Times New Roman"/>
          <w:sz w:val="24"/>
          <w:szCs w:val="24"/>
          <w:shd w:val="clear" w:color="auto" w:fill="FFFFFF"/>
        </w:rPr>
      </w:pPr>
      <w:r w:rsidRPr="009B2A62">
        <w:rPr>
          <w:rFonts w:ascii="Times New Roman" w:hAnsi="Times New Roman" w:cs="Times New Roman"/>
          <w:sz w:val="24"/>
          <w:szCs w:val="24"/>
          <w:shd w:val="clear" w:color="auto" w:fill="FFFFFF"/>
        </w:rPr>
        <w:t>Somek, Alexander. "Europe: From emancipation to empowerment." (2013).</w:t>
      </w:r>
    </w:p>
    <w:p w14:paraId="0EE212FF" w14:textId="77777777" w:rsidR="00C85863" w:rsidRPr="009B2A62" w:rsidRDefault="003B1437" w:rsidP="00C85863">
      <w:pPr>
        <w:spacing w:after="0" w:line="480" w:lineRule="auto"/>
        <w:ind w:firstLine="720"/>
        <w:rPr>
          <w:rFonts w:ascii="Times New Roman" w:hAnsi="Times New Roman" w:cs="Times New Roman"/>
          <w:sz w:val="24"/>
          <w:szCs w:val="24"/>
          <w:shd w:val="clear" w:color="auto" w:fill="FFFFFF"/>
        </w:rPr>
      </w:pPr>
      <w:r w:rsidRPr="00C85863">
        <w:rPr>
          <w:rFonts w:ascii="Times New Roman" w:hAnsi="Times New Roman" w:cs="Times New Roman"/>
          <w:sz w:val="24"/>
          <w:szCs w:val="24"/>
          <w:shd w:val="clear" w:color="auto" w:fill="FFFFFF"/>
        </w:rPr>
        <w:t>This article examines various theoretical movements including the socialism, economic liberalism, and individualism in explaining the role of Women’s Liberation Movement. The article discusses the emancipation in Europe. Somek advises that the shortcoming of emancipation can be controlled through careful analysis of the symptoms. The article further discusses the political barriers in the European countries and how women were marginalized there before. This article will assist me to analyze the political changes and challenges that women went through before the liberation movement.</w:t>
      </w:r>
    </w:p>
    <w:p w14:paraId="11FF6BA6" w14:textId="77777777" w:rsidR="004E17AF" w:rsidRDefault="003B1437" w:rsidP="00750233">
      <w:pPr>
        <w:spacing w:after="0" w:line="480" w:lineRule="auto"/>
        <w:ind w:left="785" w:hangingChars="327" w:hanging="785"/>
        <w:rPr>
          <w:rFonts w:ascii="Times New Roman" w:hAnsi="Times New Roman" w:cs="Times New Roman"/>
          <w:sz w:val="24"/>
          <w:szCs w:val="24"/>
        </w:rPr>
      </w:pPr>
      <w:r w:rsidRPr="009B2A62">
        <w:rPr>
          <w:rFonts w:ascii="Times New Roman" w:hAnsi="Times New Roman" w:cs="Times New Roman"/>
          <w:sz w:val="24"/>
          <w:szCs w:val="24"/>
          <w:shd w:val="clear" w:color="auto" w:fill="FFFFFF"/>
        </w:rPr>
        <w:t>Taylor, Verta. "Social movement continuity: The women's movement in abeyance." </w:t>
      </w:r>
      <w:r w:rsidRPr="009B2A62">
        <w:rPr>
          <w:rFonts w:ascii="Times New Roman" w:hAnsi="Times New Roman" w:cs="Times New Roman"/>
          <w:i/>
          <w:iCs/>
          <w:sz w:val="24"/>
          <w:szCs w:val="24"/>
          <w:shd w:val="clear" w:color="auto" w:fill="FFFFFF"/>
        </w:rPr>
        <w:t>American Sociological Review</w:t>
      </w:r>
      <w:r w:rsidR="000A3E6C">
        <w:rPr>
          <w:rFonts w:ascii="Times New Roman" w:hAnsi="Times New Roman" w:cs="Times New Roman"/>
          <w:i/>
          <w:iCs/>
          <w:sz w:val="24"/>
          <w:szCs w:val="24"/>
          <w:shd w:val="clear" w:color="auto" w:fill="FFFFFF"/>
        </w:rPr>
        <w:t xml:space="preserve"> </w:t>
      </w:r>
      <w:r w:rsidRPr="009B2A62">
        <w:rPr>
          <w:rFonts w:ascii="Times New Roman" w:hAnsi="Times New Roman" w:cs="Times New Roman"/>
          <w:sz w:val="24"/>
          <w:szCs w:val="24"/>
          <w:shd w:val="clear" w:color="auto" w:fill="FFFFFF"/>
        </w:rPr>
        <w:t>(1989): 761-775.</w:t>
      </w:r>
    </w:p>
    <w:p w14:paraId="0ED17CD3" w14:textId="77777777" w:rsidR="00750233" w:rsidRPr="009B2A62" w:rsidRDefault="003B1437" w:rsidP="00750233">
      <w:pPr>
        <w:spacing w:after="0" w:line="480" w:lineRule="auto"/>
        <w:ind w:firstLine="720"/>
        <w:rPr>
          <w:rFonts w:ascii="Times New Roman" w:hAnsi="Times New Roman" w:cs="Times New Roman"/>
          <w:sz w:val="24"/>
          <w:szCs w:val="24"/>
        </w:rPr>
      </w:pPr>
      <w:r w:rsidRPr="00750233">
        <w:rPr>
          <w:rFonts w:ascii="Times New Roman" w:hAnsi="Times New Roman" w:cs="Times New Roman"/>
          <w:sz w:val="24"/>
          <w:szCs w:val="24"/>
        </w:rPr>
        <w:lastRenderedPageBreak/>
        <w:t>Based on the social movement theory and organization theory, this article highlights different concepts associated with the social movement continuity. The article provides the development of social movement continuity and women's liberation movement in the 1940s and 60s. The article delineates the process in social movements that facilitate the political changes in the society. The article further explains the role of the social movement in providing the organizational and ideological bridges between different social groups. This article will help me analyze the women's movement in abeyance.</w:t>
      </w:r>
    </w:p>
    <w:sectPr w:rsidR="00750233" w:rsidRPr="009B2A62">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FA30BC" w14:textId="77777777" w:rsidR="003B1437" w:rsidRDefault="003B1437">
      <w:pPr>
        <w:spacing w:after="0" w:line="240" w:lineRule="auto"/>
      </w:pPr>
      <w:r>
        <w:separator/>
      </w:r>
    </w:p>
  </w:endnote>
  <w:endnote w:type="continuationSeparator" w:id="0">
    <w:p w14:paraId="6569BDA5" w14:textId="77777777" w:rsidR="003B1437" w:rsidRDefault="003B1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020BD9" w14:textId="77777777" w:rsidR="003B1437" w:rsidRDefault="003B1437" w:rsidP="00A03EC4">
      <w:pPr>
        <w:spacing w:after="0" w:line="240" w:lineRule="auto"/>
      </w:pPr>
      <w:r>
        <w:separator/>
      </w:r>
    </w:p>
  </w:footnote>
  <w:footnote w:type="continuationSeparator" w:id="0">
    <w:p w14:paraId="4394B513" w14:textId="77777777" w:rsidR="003B1437" w:rsidRDefault="003B1437" w:rsidP="00A03EC4">
      <w:pPr>
        <w:spacing w:after="0" w:line="240" w:lineRule="auto"/>
      </w:pPr>
      <w:r>
        <w:continuationSeparator/>
      </w:r>
    </w:p>
  </w:footnote>
  <w:footnote w:id="1">
    <w:p w14:paraId="0B1F870B" w14:textId="77777777" w:rsidR="00A03EC4" w:rsidRPr="000A2C4B" w:rsidRDefault="003B1437" w:rsidP="000A2C4B">
      <w:pPr>
        <w:spacing w:after="0" w:line="240" w:lineRule="auto"/>
        <w:ind w:left="654" w:hangingChars="327" w:hanging="654"/>
        <w:rPr>
          <w:rFonts w:ascii="Arial" w:hAnsi="Arial" w:cs="Arial"/>
          <w:sz w:val="20"/>
          <w:szCs w:val="20"/>
        </w:rPr>
      </w:pPr>
      <w:r w:rsidRPr="000A2C4B">
        <w:rPr>
          <w:rStyle w:val="FootnoteReference"/>
          <w:rFonts w:ascii="Arial" w:hAnsi="Arial" w:cs="Arial"/>
          <w:sz w:val="20"/>
          <w:szCs w:val="20"/>
        </w:rPr>
        <w:footnoteRef/>
      </w:r>
      <w:r w:rsidRPr="000A2C4B">
        <w:rPr>
          <w:rFonts w:ascii="Arial" w:hAnsi="Arial" w:cs="Arial"/>
          <w:sz w:val="20"/>
          <w:szCs w:val="20"/>
        </w:rPr>
        <w:t xml:space="preserve"> </w:t>
      </w:r>
      <w:r w:rsidRPr="000A2C4B">
        <w:rPr>
          <w:rFonts w:ascii="Arial" w:hAnsi="Arial" w:cs="Arial"/>
          <w:sz w:val="20"/>
          <w:szCs w:val="20"/>
          <w:shd w:val="clear" w:color="auto" w:fill="FFFFFF"/>
        </w:rPr>
        <w:t>Taylor, Verta. "Social movement continuity: The women's movement in abeyance." </w:t>
      </w:r>
      <w:r w:rsidRPr="000A2C4B">
        <w:rPr>
          <w:rFonts w:ascii="Arial" w:hAnsi="Arial" w:cs="Arial"/>
          <w:i/>
          <w:iCs/>
          <w:sz w:val="20"/>
          <w:szCs w:val="20"/>
          <w:shd w:val="clear" w:color="auto" w:fill="FFFFFF"/>
        </w:rPr>
        <w:t xml:space="preserve">American Sociological </w:t>
      </w:r>
      <w:r w:rsidR="00670E7A" w:rsidRPr="000A2C4B">
        <w:rPr>
          <w:rFonts w:ascii="Arial" w:hAnsi="Arial" w:cs="Arial"/>
          <w:i/>
          <w:iCs/>
          <w:sz w:val="20"/>
          <w:szCs w:val="20"/>
          <w:shd w:val="clear" w:color="auto" w:fill="FFFFFF"/>
        </w:rPr>
        <w:t>Review</w:t>
      </w:r>
      <w:r w:rsidR="00670E7A" w:rsidRPr="000A2C4B">
        <w:rPr>
          <w:rFonts w:ascii="Arial" w:hAnsi="Arial" w:cs="Arial"/>
          <w:sz w:val="20"/>
          <w:szCs w:val="20"/>
          <w:shd w:val="clear" w:color="auto" w:fill="FFFFFF"/>
        </w:rPr>
        <w:t xml:space="preserve"> (</w:t>
      </w:r>
      <w:r w:rsidRPr="000A2C4B">
        <w:rPr>
          <w:rFonts w:ascii="Arial" w:hAnsi="Arial" w:cs="Arial"/>
          <w:sz w:val="20"/>
          <w:szCs w:val="20"/>
          <w:shd w:val="clear" w:color="auto" w:fill="FFFFFF"/>
        </w:rPr>
        <w:t>1989): 761-775.</w:t>
      </w:r>
    </w:p>
  </w:footnote>
  <w:footnote w:id="2">
    <w:p w14:paraId="538C7747" w14:textId="77777777" w:rsidR="00A03EC4" w:rsidRPr="000A2C4B" w:rsidRDefault="003B1437" w:rsidP="000A2C4B">
      <w:pPr>
        <w:pStyle w:val="FootnoteText"/>
        <w:ind w:left="654" w:hangingChars="327" w:hanging="654"/>
        <w:rPr>
          <w:rFonts w:ascii="Arial" w:hAnsi="Arial" w:cs="Arial"/>
        </w:rPr>
      </w:pPr>
      <w:r w:rsidRPr="000A2C4B">
        <w:rPr>
          <w:rStyle w:val="FootnoteReference"/>
          <w:rFonts w:ascii="Arial" w:hAnsi="Arial" w:cs="Arial"/>
        </w:rPr>
        <w:footnoteRef/>
      </w:r>
      <w:r w:rsidRPr="000A2C4B">
        <w:rPr>
          <w:rFonts w:ascii="Arial" w:hAnsi="Arial" w:cs="Arial"/>
        </w:rPr>
        <w:t xml:space="preserve"> Ibid., 763.</w:t>
      </w:r>
    </w:p>
  </w:footnote>
  <w:footnote w:id="3">
    <w:p w14:paraId="4EC8C72B" w14:textId="77777777" w:rsidR="00A03EC4" w:rsidRPr="000A2C4B" w:rsidRDefault="003B1437" w:rsidP="000A2C4B">
      <w:pPr>
        <w:spacing w:after="0" w:line="240" w:lineRule="auto"/>
        <w:ind w:left="654" w:hangingChars="327" w:hanging="654"/>
        <w:rPr>
          <w:rFonts w:ascii="Arial" w:hAnsi="Arial" w:cs="Arial"/>
          <w:sz w:val="20"/>
          <w:szCs w:val="20"/>
          <w:shd w:val="clear" w:color="auto" w:fill="FFFFFF"/>
        </w:rPr>
      </w:pPr>
      <w:r w:rsidRPr="000A2C4B">
        <w:rPr>
          <w:rStyle w:val="FootnoteReference"/>
          <w:rFonts w:ascii="Arial" w:hAnsi="Arial" w:cs="Arial"/>
          <w:sz w:val="20"/>
          <w:szCs w:val="20"/>
        </w:rPr>
        <w:footnoteRef/>
      </w:r>
      <w:r w:rsidRPr="000A2C4B">
        <w:rPr>
          <w:rFonts w:ascii="Arial" w:hAnsi="Arial" w:cs="Arial"/>
          <w:sz w:val="20"/>
          <w:szCs w:val="20"/>
        </w:rPr>
        <w:t xml:space="preserve"> </w:t>
      </w:r>
      <w:r w:rsidRPr="000A2C4B">
        <w:rPr>
          <w:rFonts w:ascii="Arial" w:hAnsi="Arial" w:cs="Arial"/>
          <w:sz w:val="20"/>
          <w:szCs w:val="20"/>
          <w:shd w:val="clear" w:color="auto" w:fill="FFFFFF"/>
        </w:rPr>
        <w:t xml:space="preserve">Cook, Megan. </w:t>
      </w:r>
      <w:hyperlink r:id="rId1" w:history="1">
        <w:r w:rsidRPr="000A2C4B">
          <w:rPr>
            <w:rStyle w:val="Hyperlink"/>
            <w:rFonts w:ascii="Arial" w:hAnsi="Arial" w:cs="Arial"/>
            <w:color w:val="auto"/>
            <w:sz w:val="20"/>
            <w:szCs w:val="20"/>
            <w:u w:val="none"/>
          </w:rPr>
          <w:t>"Women's movement—The Women's Liberation Movement"</w:t>
        </w:r>
      </w:hyperlink>
      <w:r w:rsidRPr="000A2C4B">
        <w:rPr>
          <w:rFonts w:ascii="Arial" w:hAnsi="Arial" w:cs="Arial"/>
          <w:sz w:val="20"/>
          <w:szCs w:val="20"/>
          <w:shd w:val="clear" w:color="auto" w:fill="FFFFFF"/>
        </w:rPr>
        <w:t>. </w:t>
      </w:r>
      <w:r w:rsidRPr="000A2C4B">
        <w:rPr>
          <w:rFonts w:ascii="Arial" w:hAnsi="Arial" w:cs="Arial"/>
          <w:i/>
          <w:iCs/>
          <w:sz w:val="20"/>
          <w:szCs w:val="20"/>
          <w:shd w:val="clear" w:color="auto" w:fill="FFFFFF"/>
        </w:rPr>
        <w:t>Te Ara Encyclopedia of New Zealand</w:t>
      </w:r>
      <w:r w:rsidRPr="000A2C4B">
        <w:rPr>
          <w:rFonts w:ascii="Arial" w:hAnsi="Arial" w:cs="Arial"/>
          <w:sz w:val="20"/>
          <w:szCs w:val="20"/>
          <w:shd w:val="clear" w:color="auto" w:fill="FFFFFF"/>
        </w:rPr>
        <w:t xml:space="preserve">. Wellington, New Zealand: New Zealand Ministry for Culture and Heritage Te </w:t>
      </w:r>
      <w:r w:rsidR="00670E7A" w:rsidRPr="000A2C4B">
        <w:rPr>
          <w:rFonts w:ascii="Arial" w:hAnsi="Arial" w:cs="Arial"/>
          <w:sz w:val="20"/>
          <w:szCs w:val="20"/>
          <w:shd w:val="clear" w:color="auto" w:fill="FFFFFF"/>
        </w:rPr>
        <w:t>Manatu. (</w:t>
      </w:r>
      <w:r w:rsidRPr="000A2C4B">
        <w:rPr>
          <w:rFonts w:ascii="Arial" w:hAnsi="Arial" w:cs="Arial"/>
          <w:sz w:val="20"/>
          <w:szCs w:val="20"/>
          <w:shd w:val="clear" w:color="auto" w:fill="FFFFFF"/>
        </w:rPr>
        <w:t xml:space="preserve">5 May 2011). </w:t>
      </w:r>
    </w:p>
  </w:footnote>
  <w:footnote w:id="4">
    <w:p w14:paraId="078D9770" w14:textId="77777777" w:rsidR="00A03EC4" w:rsidRPr="000A2C4B" w:rsidRDefault="003B1437" w:rsidP="000A2C4B">
      <w:pPr>
        <w:pStyle w:val="FootnoteText"/>
        <w:ind w:left="654" w:hangingChars="327" w:hanging="654"/>
        <w:rPr>
          <w:rFonts w:ascii="Arial" w:hAnsi="Arial" w:cs="Arial"/>
        </w:rPr>
      </w:pPr>
      <w:r w:rsidRPr="000A2C4B">
        <w:rPr>
          <w:rStyle w:val="FootnoteReference"/>
          <w:rFonts w:ascii="Arial" w:hAnsi="Arial" w:cs="Arial"/>
        </w:rPr>
        <w:footnoteRef/>
      </w:r>
      <w:r w:rsidRPr="000A2C4B">
        <w:rPr>
          <w:rFonts w:ascii="Arial" w:hAnsi="Arial" w:cs="Arial"/>
        </w:rPr>
        <w:t xml:space="preserve"> Ibid.</w:t>
      </w:r>
    </w:p>
  </w:footnote>
  <w:footnote w:id="5">
    <w:p w14:paraId="5DF75CDB" w14:textId="77777777" w:rsidR="00A03EC4" w:rsidRPr="000A2C4B" w:rsidRDefault="003B1437" w:rsidP="000A2C4B">
      <w:pPr>
        <w:spacing w:after="0" w:line="240" w:lineRule="auto"/>
        <w:ind w:left="654" w:hangingChars="327" w:hanging="654"/>
        <w:rPr>
          <w:rFonts w:ascii="Arial" w:hAnsi="Arial" w:cs="Arial"/>
          <w:sz w:val="20"/>
          <w:szCs w:val="20"/>
          <w:shd w:val="clear" w:color="auto" w:fill="FFFFFF"/>
        </w:rPr>
      </w:pPr>
      <w:r w:rsidRPr="000A2C4B">
        <w:rPr>
          <w:rStyle w:val="FootnoteReference"/>
          <w:rFonts w:ascii="Arial" w:hAnsi="Arial" w:cs="Arial"/>
          <w:sz w:val="20"/>
          <w:szCs w:val="20"/>
        </w:rPr>
        <w:footnoteRef/>
      </w:r>
      <w:r w:rsidRPr="000A2C4B">
        <w:rPr>
          <w:rFonts w:ascii="Arial" w:hAnsi="Arial" w:cs="Arial"/>
          <w:sz w:val="20"/>
          <w:szCs w:val="20"/>
        </w:rPr>
        <w:t xml:space="preserve"> </w:t>
      </w:r>
      <w:r w:rsidRPr="000A2C4B">
        <w:rPr>
          <w:rFonts w:ascii="Arial" w:hAnsi="Arial" w:cs="Arial"/>
          <w:sz w:val="20"/>
          <w:szCs w:val="20"/>
          <w:shd w:val="clear" w:color="auto" w:fill="FFFFFF"/>
        </w:rPr>
        <w:t>Schulz, Kristina, ed. </w:t>
      </w:r>
      <w:r w:rsidRPr="000A2C4B">
        <w:rPr>
          <w:rFonts w:ascii="Arial" w:hAnsi="Arial" w:cs="Arial"/>
          <w:i/>
          <w:iCs/>
          <w:sz w:val="20"/>
          <w:szCs w:val="20"/>
          <w:shd w:val="clear" w:color="auto" w:fill="FFFFFF"/>
        </w:rPr>
        <w:t>The Women's Liberation Movement: Impacts and Outcomes</w:t>
      </w:r>
      <w:r w:rsidRPr="000A2C4B">
        <w:rPr>
          <w:rFonts w:ascii="Arial" w:hAnsi="Arial" w:cs="Arial"/>
          <w:sz w:val="20"/>
          <w:szCs w:val="20"/>
          <w:shd w:val="clear" w:color="auto" w:fill="FFFFFF"/>
        </w:rPr>
        <w:t>. Vol. 22. Berghahn Books, 2017.</w:t>
      </w:r>
    </w:p>
  </w:footnote>
  <w:footnote w:id="6">
    <w:p w14:paraId="75B22E19" w14:textId="77777777" w:rsidR="00A03EC4" w:rsidRPr="000A2C4B" w:rsidRDefault="003B1437" w:rsidP="000A2C4B">
      <w:pPr>
        <w:pStyle w:val="FootnoteText"/>
        <w:ind w:left="654" w:hangingChars="327" w:hanging="654"/>
        <w:rPr>
          <w:rFonts w:ascii="Arial" w:hAnsi="Arial" w:cs="Arial"/>
        </w:rPr>
      </w:pPr>
      <w:r w:rsidRPr="000A2C4B">
        <w:rPr>
          <w:rStyle w:val="FootnoteReference"/>
          <w:rFonts w:ascii="Arial" w:hAnsi="Arial" w:cs="Arial"/>
        </w:rPr>
        <w:footnoteRef/>
      </w:r>
      <w:r w:rsidRPr="000A2C4B">
        <w:rPr>
          <w:rFonts w:ascii="Arial" w:hAnsi="Arial" w:cs="Arial"/>
        </w:rPr>
        <w:t xml:space="preserve"> </w:t>
      </w:r>
      <w:r w:rsidRPr="000A2C4B">
        <w:rPr>
          <w:rFonts w:ascii="Arial" w:hAnsi="Arial" w:cs="Arial"/>
          <w:shd w:val="clear" w:color="auto" w:fill="FFFFFF"/>
        </w:rPr>
        <w:t xml:space="preserve">Magarey, Susan. "Women's Liberation was a Movement, Not an </w:t>
      </w:r>
      <w:r w:rsidR="00670E7A" w:rsidRPr="000A2C4B">
        <w:rPr>
          <w:rFonts w:ascii="Arial" w:hAnsi="Arial" w:cs="Arial"/>
          <w:shd w:val="clear" w:color="auto" w:fill="FFFFFF"/>
        </w:rPr>
        <w:t>Organization</w:t>
      </w:r>
      <w:r w:rsidRPr="000A2C4B">
        <w:rPr>
          <w:rFonts w:ascii="Arial" w:hAnsi="Arial" w:cs="Arial"/>
          <w:shd w:val="clear" w:color="auto" w:fill="FFFFFF"/>
        </w:rPr>
        <w:t>." </w:t>
      </w:r>
      <w:r w:rsidRPr="000A2C4B">
        <w:rPr>
          <w:rFonts w:ascii="Arial" w:hAnsi="Arial" w:cs="Arial"/>
          <w:i/>
          <w:iCs/>
          <w:shd w:val="clear" w:color="auto" w:fill="FFFFFF"/>
        </w:rPr>
        <w:t>Australian Feminist Studies</w:t>
      </w:r>
      <w:r w:rsidRPr="000A2C4B">
        <w:rPr>
          <w:rFonts w:ascii="Arial" w:hAnsi="Arial" w:cs="Arial"/>
          <w:shd w:val="clear" w:color="auto" w:fill="FFFFFF"/>
        </w:rPr>
        <w:t> 29, no. 82 (2014): 378-390</w:t>
      </w:r>
    </w:p>
  </w:footnote>
  <w:footnote w:id="7">
    <w:p w14:paraId="4F9F6E8A" w14:textId="77777777" w:rsidR="00A03EC4" w:rsidRPr="000A2C4B" w:rsidRDefault="003B1437" w:rsidP="000A2C4B">
      <w:pPr>
        <w:pStyle w:val="FootnoteText"/>
        <w:ind w:left="654" w:hangingChars="327" w:hanging="654"/>
        <w:rPr>
          <w:rFonts w:ascii="Arial" w:hAnsi="Arial" w:cs="Arial"/>
        </w:rPr>
      </w:pPr>
      <w:r w:rsidRPr="000A2C4B">
        <w:rPr>
          <w:rStyle w:val="FootnoteReference"/>
          <w:rFonts w:ascii="Arial" w:hAnsi="Arial" w:cs="Arial"/>
        </w:rPr>
        <w:footnoteRef/>
      </w:r>
      <w:r w:rsidRPr="000A2C4B">
        <w:rPr>
          <w:rFonts w:ascii="Arial" w:hAnsi="Arial" w:cs="Arial"/>
        </w:rPr>
        <w:t xml:space="preserve"> Ibid., 379.</w:t>
      </w:r>
    </w:p>
  </w:footnote>
  <w:footnote w:id="8">
    <w:p w14:paraId="32608EE8" w14:textId="77777777" w:rsidR="000A2C4B" w:rsidRPr="000A2C4B" w:rsidRDefault="003B1437" w:rsidP="000A2C4B">
      <w:pPr>
        <w:spacing w:after="0" w:line="240" w:lineRule="auto"/>
        <w:ind w:left="654" w:hangingChars="327" w:hanging="654"/>
        <w:rPr>
          <w:rFonts w:ascii="Arial" w:hAnsi="Arial" w:cs="Arial"/>
          <w:sz w:val="20"/>
          <w:szCs w:val="20"/>
          <w:shd w:val="clear" w:color="auto" w:fill="FFFFFF"/>
        </w:rPr>
      </w:pPr>
      <w:r w:rsidRPr="000A2C4B">
        <w:rPr>
          <w:rStyle w:val="FootnoteReference"/>
          <w:rFonts w:ascii="Arial" w:hAnsi="Arial" w:cs="Arial"/>
          <w:sz w:val="20"/>
          <w:szCs w:val="20"/>
        </w:rPr>
        <w:footnoteRef/>
      </w:r>
      <w:r w:rsidRPr="000A2C4B">
        <w:rPr>
          <w:rFonts w:ascii="Arial" w:hAnsi="Arial" w:cs="Arial"/>
          <w:sz w:val="20"/>
          <w:szCs w:val="20"/>
        </w:rPr>
        <w:t xml:space="preserve"> </w:t>
      </w:r>
      <w:r w:rsidRPr="000A2C4B">
        <w:rPr>
          <w:rFonts w:ascii="Arial" w:hAnsi="Arial" w:cs="Arial"/>
          <w:sz w:val="20"/>
          <w:szCs w:val="20"/>
          <w:shd w:val="clear" w:color="auto" w:fill="FFFFFF"/>
        </w:rPr>
        <w:t>Bergoffen, Debra. Zalta, Edward N., ed. </w:t>
      </w:r>
      <w:hyperlink r:id="rId2" w:history="1">
        <w:r w:rsidRPr="000A2C4B">
          <w:rPr>
            <w:rStyle w:val="Hyperlink"/>
            <w:rFonts w:ascii="Arial" w:hAnsi="Arial" w:cs="Arial"/>
            <w:color w:val="auto"/>
            <w:sz w:val="20"/>
            <w:szCs w:val="20"/>
            <w:u w:val="none"/>
          </w:rPr>
          <w:t>"The Stanford Encyclopedia of Philosophy: Simone de Beauvoir"</w:t>
        </w:r>
      </w:hyperlink>
      <w:r w:rsidRPr="000A2C4B">
        <w:rPr>
          <w:rFonts w:ascii="Arial" w:hAnsi="Arial" w:cs="Arial"/>
          <w:sz w:val="20"/>
          <w:szCs w:val="20"/>
          <w:shd w:val="clear" w:color="auto" w:fill="FFFFFF"/>
        </w:rPr>
        <w:t>. </w:t>
      </w:r>
      <w:r w:rsidRPr="000A2C4B">
        <w:rPr>
          <w:rFonts w:ascii="Arial" w:hAnsi="Arial" w:cs="Arial"/>
          <w:i/>
          <w:iCs/>
          <w:sz w:val="20"/>
          <w:szCs w:val="20"/>
          <w:shd w:val="clear" w:color="auto" w:fill="FFFFFF"/>
        </w:rPr>
        <w:t>plato.stanford.edu</w:t>
      </w:r>
      <w:r w:rsidRPr="000A2C4B">
        <w:rPr>
          <w:rFonts w:ascii="Arial" w:hAnsi="Arial" w:cs="Arial"/>
          <w:sz w:val="20"/>
          <w:szCs w:val="20"/>
          <w:shd w:val="clear" w:color="auto" w:fill="FFFFFF"/>
        </w:rPr>
        <w:t>. Stanford, California: </w:t>
      </w:r>
      <w:hyperlink r:id="rId3" w:tooltip="Stanford University" w:history="1">
        <w:r w:rsidRPr="000A2C4B">
          <w:rPr>
            <w:rStyle w:val="Hyperlink"/>
            <w:rFonts w:ascii="Arial" w:hAnsi="Arial" w:cs="Arial"/>
            <w:color w:val="auto"/>
            <w:sz w:val="20"/>
            <w:szCs w:val="20"/>
            <w:u w:val="none"/>
            <w:shd w:val="clear" w:color="auto" w:fill="FFFFFF"/>
          </w:rPr>
          <w:t>Stanford University</w:t>
        </w:r>
      </w:hyperlink>
      <w:r w:rsidRPr="000A2C4B">
        <w:rPr>
          <w:rFonts w:ascii="Arial" w:hAnsi="Arial" w:cs="Arial"/>
          <w:sz w:val="20"/>
          <w:szCs w:val="20"/>
          <w:shd w:val="clear" w:color="auto" w:fill="FFFFFF"/>
        </w:rPr>
        <w:t xml:space="preserve"> (17 August 2004).</w:t>
      </w:r>
    </w:p>
  </w:footnote>
  <w:footnote w:id="9">
    <w:p w14:paraId="3D572DE7" w14:textId="77777777" w:rsidR="000A2C4B" w:rsidRPr="000A2C4B" w:rsidRDefault="003B1437" w:rsidP="000A2C4B">
      <w:pPr>
        <w:pStyle w:val="FootnoteText"/>
        <w:ind w:left="654" w:hangingChars="327" w:hanging="654"/>
        <w:rPr>
          <w:rFonts w:ascii="Arial" w:hAnsi="Arial" w:cs="Arial"/>
        </w:rPr>
      </w:pPr>
      <w:r w:rsidRPr="000A2C4B">
        <w:rPr>
          <w:rStyle w:val="FootnoteReference"/>
          <w:rFonts w:ascii="Arial" w:hAnsi="Arial" w:cs="Arial"/>
        </w:rPr>
        <w:footnoteRef/>
      </w:r>
      <w:r w:rsidRPr="000A2C4B">
        <w:rPr>
          <w:rFonts w:ascii="Arial" w:hAnsi="Arial" w:cs="Arial"/>
        </w:rPr>
        <w:t xml:space="preserve"> Ibid.</w:t>
      </w:r>
    </w:p>
  </w:footnote>
  <w:footnote w:id="10">
    <w:p w14:paraId="5488C5AB" w14:textId="77777777" w:rsidR="000A2C4B" w:rsidRPr="000A2C4B" w:rsidRDefault="003B1437" w:rsidP="000A2C4B">
      <w:pPr>
        <w:pStyle w:val="FootnoteText"/>
        <w:ind w:left="654" w:hangingChars="327" w:hanging="654"/>
        <w:rPr>
          <w:rFonts w:ascii="Arial" w:hAnsi="Arial" w:cs="Arial"/>
        </w:rPr>
      </w:pPr>
      <w:r w:rsidRPr="000A2C4B">
        <w:rPr>
          <w:rStyle w:val="FootnoteReference"/>
          <w:rFonts w:ascii="Arial" w:hAnsi="Arial" w:cs="Arial"/>
        </w:rPr>
        <w:footnoteRef/>
      </w:r>
      <w:r w:rsidRPr="000A2C4B">
        <w:rPr>
          <w:rFonts w:ascii="Arial" w:hAnsi="Arial" w:cs="Arial"/>
        </w:rPr>
        <w:t xml:space="preserve"> Ibid.</w:t>
      </w:r>
    </w:p>
  </w:footnote>
  <w:footnote w:id="11">
    <w:p w14:paraId="1E14074B" w14:textId="77777777" w:rsidR="000A2C4B" w:rsidRPr="000A2C4B" w:rsidRDefault="003B1437" w:rsidP="000A2C4B">
      <w:pPr>
        <w:pStyle w:val="FootnoteText"/>
        <w:ind w:left="654" w:hangingChars="327" w:hanging="654"/>
        <w:rPr>
          <w:rFonts w:ascii="Arial" w:hAnsi="Arial" w:cs="Arial"/>
        </w:rPr>
      </w:pPr>
      <w:r w:rsidRPr="000A2C4B">
        <w:rPr>
          <w:rStyle w:val="FootnoteReference"/>
          <w:rFonts w:ascii="Arial" w:hAnsi="Arial" w:cs="Arial"/>
        </w:rPr>
        <w:footnoteRef/>
      </w:r>
      <w:r w:rsidRPr="000A2C4B">
        <w:rPr>
          <w:rFonts w:ascii="Arial" w:hAnsi="Arial" w:cs="Arial"/>
        </w:rPr>
        <w:t xml:space="preserve"> Ibid.</w:t>
      </w:r>
    </w:p>
  </w:footnote>
  <w:footnote w:id="12">
    <w:p w14:paraId="01687761" w14:textId="77777777" w:rsidR="000A2C4B" w:rsidRPr="000A2C4B" w:rsidRDefault="003B1437" w:rsidP="000A2C4B">
      <w:pPr>
        <w:pStyle w:val="FootnoteText"/>
        <w:ind w:left="654" w:hangingChars="327" w:hanging="654"/>
        <w:rPr>
          <w:rFonts w:ascii="Arial" w:hAnsi="Arial" w:cs="Arial"/>
        </w:rPr>
      </w:pPr>
      <w:r w:rsidRPr="000A2C4B">
        <w:rPr>
          <w:rStyle w:val="FootnoteReference"/>
          <w:rFonts w:ascii="Arial" w:hAnsi="Arial" w:cs="Arial"/>
        </w:rPr>
        <w:footnoteRef/>
      </w:r>
      <w:r w:rsidRPr="000A2C4B">
        <w:rPr>
          <w:rFonts w:ascii="Arial" w:hAnsi="Arial" w:cs="Arial"/>
        </w:rPr>
        <w:t xml:space="preserve"> Ibid. </w:t>
      </w:r>
    </w:p>
  </w:footnote>
  <w:footnote w:id="13">
    <w:p w14:paraId="1FB88162" w14:textId="77777777" w:rsidR="000A2C4B" w:rsidRPr="000A2C4B" w:rsidRDefault="003B1437" w:rsidP="000A2C4B">
      <w:pPr>
        <w:spacing w:after="0" w:line="240" w:lineRule="auto"/>
        <w:ind w:left="654" w:hangingChars="327" w:hanging="654"/>
        <w:rPr>
          <w:rFonts w:ascii="Arial" w:hAnsi="Arial" w:cs="Arial"/>
          <w:sz w:val="20"/>
          <w:szCs w:val="20"/>
          <w:shd w:val="clear" w:color="auto" w:fill="FFFFFF"/>
        </w:rPr>
      </w:pPr>
      <w:r w:rsidRPr="000A2C4B">
        <w:rPr>
          <w:rStyle w:val="FootnoteReference"/>
          <w:rFonts w:ascii="Arial" w:hAnsi="Arial" w:cs="Arial"/>
          <w:sz w:val="20"/>
          <w:szCs w:val="20"/>
        </w:rPr>
        <w:footnoteRef/>
      </w:r>
      <w:r w:rsidRPr="000A2C4B">
        <w:rPr>
          <w:rFonts w:ascii="Arial" w:hAnsi="Arial" w:cs="Arial"/>
          <w:sz w:val="20"/>
          <w:szCs w:val="20"/>
        </w:rPr>
        <w:t xml:space="preserve"> </w:t>
      </w:r>
      <w:r w:rsidRPr="000A2C4B">
        <w:rPr>
          <w:rFonts w:ascii="Arial" w:hAnsi="Arial" w:cs="Arial"/>
          <w:sz w:val="20"/>
          <w:szCs w:val="20"/>
          <w:shd w:val="clear" w:color="auto" w:fill="FFFFFF"/>
        </w:rPr>
        <w:t>Butler, Judith. "Sex and gender in Simone de Beauvoir's Second Sex." </w:t>
      </w:r>
      <w:r w:rsidRPr="000A2C4B">
        <w:rPr>
          <w:rFonts w:ascii="Arial" w:hAnsi="Arial" w:cs="Arial"/>
          <w:i/>
          <w:iCs/>
          <w:sz w:val="20"/>
          <w:szCs w:val="20"/>
          <w:shd w:val="clear" w:color="auto" w:fill="FFFFFF"/>
        </w:rPr>
        <w:t>Yale French Studies</w:t>
      </w:r>
      <w:r w:rsidRPr="000A2C4B">
        <w:rPr>
          <w:rFonts w:ascii="Arial" w:hAnsi="Arial" w:cs="Arial"/>
          <w:sz w:val="20"/>
          <w:szCs w:val="20"/>
          <w:shd w:val="clear" w:color="auto" w:fill="FFFFFF"/>
        </w:rPr>
        <w:t> 72 (1986): 35-49.</w:t>
      </w:r>
    </w:p>
  </w:footnote>
  <w:footnote w:id="14">
    <w:p w14:paraId="04484879" w14:textId="77777777" w:rsidR="000A2C4B" w:rsidRPr="000A2C4B" w:rsidRDefault="003B1437" w:rsidP="000A2C4B">
      <w:pPr>
        <w:spacing w:after="0" w:line="240" w:lineRule="auto"/>
        <w:ind w:left="654" w:hangingChars="327" w:hanging="654"/>
        <w:rPr>
          <w:rFonts w:ascii="Arial" w:hAnsi="Arial" w:cs="Arial"/>
          <w:sz w:val="20"/>
          <w:szCs w:val="20"/>
          <w:shd w:val="clear" w:color="auto" w:fill="FFFFFF"/>
        </w:rPr>
      </w:pPr>
      <w:r w:rsidRPr="000A2C4B">
        <w:rPr>
          <w:rStyle w:val="FootnoteReference"/>
          <w:rFonts w:ascii="Arial" w:hAnsi="Arial" w:cs="Arial"/>
          <w:sz w:val="20"/>
          <w:szCs w:val="20"/>
        </w:rPr>
        <w:footnoteRef/>
      </w:r>
      <w:r w:rsidRPr="000A2C4B">
        <w:rPr>
          <w:rFonts w:ascii="Arial" w:hAnsi="Arial" w:cs="Arial"/>
          <w:sz w:val="20"/>
          <w:szCs w:val="20"/>
        </w:rPr>
        <w:t xml:space="preserve"> </w:t>
      </w:r>
      <w:r w:rsidRPr="000A2C4B">
        <w:rPr>
          <w:rFonts w:ascii="Arial" w:hAnsi="Arial" w:cs="Arial"/>
          <w:sz w:val="20"/>
          <w:szCs w:val="20"/>
          <w:shd w:val="clear" w:color="auto" w:fill="FFFFFF"/>
        </w:rPr>
        <w:t>GHORFATI, Amina, and Rabha MEDINI. "Feminism and its Impact On woman in the Modern Society." PhD diss., 2015.</w:t>
      </w:r>
    </w:p>
  </w:footnote>
  <w:footnote w:id="15">
    <w:p w14:paraId="64110DF4" w14:textId="77777777" w:rsidR="000A2C4B" w:rsidRPr="000A2C4B" w:rsidRDefault="003B1437" w:rsidP="000A2C4B">
      <w:pPr>
        <w:pStyle w:val="FootnoteText"/>
        <w:ind w:left="654" w:hangingChars="327" w:hanging="654"/>
        <w:rPr>
          <w:rFonts w:ascii="Arial" w:hAnsi="Arial" w:cs="Arial"/>
        </w:rPr>
      </w:pPr>
      <w:r w:rsidRPr="000A2C4B">
        <w:rPr>
          <w:rStyle w:val="FootnoteReference"/>
          <w:rFonts w:ascii="Arial" w:hAnsi="Arial" w:cs="Arial"/>
        </w:rPr>
        <w:footnoteRef/>
      </w:r>
      <w:r w:rsidRPr="000A2C4B">
        <w:rPr>
          <w:rFonts w:ascii="Arial" w:hAnsi="Arial" w:cs="Arial"/>
        </w:rPr>
        <w:t xml:space="preserve"> Ibid.</w:t>
      </w:r>
    </w:p>
  </w:footnote>
  <w:footnote w:id="16">
    <w:p w14:paraId="7D51307A" w14:textId="77777777" w:rsidR="000A2C4B" w:rsidRPr="000A2C4B" w:rsidRDefault="003B1437" w:rsidP="000A2C4B">
      <w:pPr>
        <w:spacing w:after="0" w:line="240" w:lineRule="auto"/>
        <w:ind w:left="654" w:hangingChars="327" w:hanging="654"/>
        <w:rPr>
          <w:rFonts w:ascii="Arial" w:hAnsi="Arial" w:cs="Arial"/>
          <w:sz w:val="20"/>
          <w:szCs w:val="20"/>
          <w:shd w:val="clear" w:color="auto" w:fill="FFFFFF"/>
        </w:rPr>
      </w:pPr>
      <w:r w:rsidRPr="000A2C4B">
        <w:rPr>
          <w:rStyle w:val="FootnoteReference"/>
          <w:rFonts w:ascii="Arial" w:hAnsi="Arial" w:cs="Arial"/>
          <w:sz w:val="20"/>
          <w:szCs w:val="20"/>
        </w:rPr>
        <w:footnoteRef/>
      </w:r>
      <w:r w:rsidRPr="000A2C4B">
        <w:rPr>
          <w:rFonts w:ascii="Arial" w:hAnsi="Arial" w:cs="Arial"/>
          <w:sz w:val="20"/>
          <w:szCs w:val="20"/>
        </w:rPr>
        <w:t xml:space="preserve"> </w:t>
      </w:r>
      <w:r w:rsidRPr="000A2C4B">
        <w:rPr>
          <w:rFonts w:ascii="Arial" w:hAnsi="Arial" w:cs="Arial"/>
          <w:sz w:val="20"/>
          <w:szCs w:val="20"/>
          <w:shd w:val="clear" w:color="auto" w:fill="FFFFFF"/>
        </w:rPr>
        <w:t>Schulz, Kristina, ed. </w:t>
      </w:r>
      <w:r w:rsidRPr="000A2C4B">
        <w:rPr>
          <w:rFonts w:ascii="Arial" w:hAnsi="Arial" w:cs="Arial"/>
          <w:i/>
          <w:iCs/>
          <w:sz w:val="20"/>
          <w:szCs w:val="20"/>
          <w:shd w:val="clear" w:color="auto" w:fill="FFFFFF"/>
        </w:rPr>
        <w:t>The Women's Liberation Movement: Impacts and Outcomes</w:t>
      </w:r>
      <w:r w:rsidRPr="000A2C4B">
        <w:rPr>
          <w:rFonts w:ascii="Arial" w:hAnsi="Arial" w:cs="Arial"/>
          <w:sz w:val="20"/>
          <w:szCs w:val="20"/>
          <w:shd w:val="clear" w:color="auto" w:fill="FFFFFF"/>
        </w:rPr>
        <w:t>. Vol. 22. Berghahn Books, 2017.</w:t>
      </w:r>
    </w:p>
  </w:footnote>
  <w:footnote w:id="17">
    <w:p w14:paraId="2EBDB0F5" w14:textId="77777777" w:rsidR="000A2C4B" w:rsidRPr="000A2C4B" w:rsidRDefault="003B1437" w:rsidP="000A2C4B">
      <w:pPr>
        <w:pStyle w:val="FootnoteText"/>
        <w:ind w:left="654" w:hangingChars="327" w:hanging="654"/>
        <w:rPr>
          <w:rFonts w:ascii="Arial" w:hAnsi="Arial" w:cs="Arial"/>
        </w:rPr>
      </w:pPr>
      <w:r w:rsidRPr="000A2C4B">
        <w:rPr>
          <w:rStyle w:val="FootnoteReference"/>
          <w:rFonts w:ascii="Arial" w:hAnsi="Arial" w:cs="Arial"/>
        </w:rPr>
        <w:footnoteRef/>
      </w:r>
      <w:r w:rsidRPr="000A2C4B">
        <w:rPr>
          <w:rFonts w:ascii="Arial" w:hAnsi="Arial" w:cs="Arial"/>
        </w:rPr>
        <w:t xml:space="preserve"> Ibid.</w:t>
      </w:r>
    </w:p>
  </w:footnote>
  <w:footnote w:id="18">
    <w:p w14:paraId="3E3A6B90" w14:textId="77777777" w:rsidR="000A2C4B" w:rsidRPr="000A2C4B" w:rsidRDefault="003B1437" w:rsidP="000A2C4B">
      <w:pPr>
        <w:pStyle w:val="FootnoteText"/>
        <w:ind w:left="654" w:hangingChars="327" w:hanging="654"/>
        <w:rPr>
          <w:rFonts w:ascii="Arial" w:hAnsi="Arial" w:cs="Arial"/>
        </w:rPr>
      </w:pPr>
      <w:r w:rsidRPr="000A2C4B">
        <w:rPr>
          <w:rStyle w:val="FootnoteReference"/>
          <w:rFonts w:ascii="Arial" w:hAnsi="Arial" w:cs="Arial"/>
        </w:rPr>
        <w:footnoteRef/>
      </w:r>
      <w:r w:rsidRPr="000A2C4B">
        <w:rPr>
          <w:rFonts w:ascii="Arial" w:hAnsi="Arial" w:cs="Arial"/>
        </w:rPr>
        <w:t xml:space="preserve"> Ibid.</w:t>
      </w:r>
    </w:p>
  </w:footnote>
  <w:footnote w:id="19">
    <w:p w14:paraId="623D54DE" w14:textId="77777777" w:rsidR="000A2C4B" w:rsidRPr="000A2C4B" w:rsidRDefault="003B1437" w:rsidP="000A2C4B">
      <w:pPr>
        <w:pStyle w:val="FootnoteText"/>
        <w:ind w:left="654" w:hangingChars="327" w:hanging="654"/>
        <w:rPr>
          <w:rFonts w:ascii="Arial" w:hAnsi="Arial" w:cs="Arial"/>
        </w:rPr>
      </w:pPr>
      <w:r w:rsidRPr="000A2C4B">
        <w:rPr>
          <w:rStyle w:val="FootnoteReference"/>
          <w:rFonts w:ascii="Arial" w:hAnsi="Arial" w:cs="Arial"/>
        </w:rPr>
        <w:footnoteRef/>
      </w:r>
      <w:r w:rsidRPr="000A2C4B">
        <w:rPr>
          <w:rFonts w:ascii="Arial" w:hAnsi="Arial" w:cs="Arial"/>
        </w:rPr>
        <w:t xml:space="preserve"> Ibid.</w:t>
      </w:r>
    </w:p>
  </w:footnote>
  <w:footnote w:id="20">
    <w:p w14:paraId="65EDB584" w14:textId="77777777" w:rsidR="000A2C4B" w:rsidRPr="000A2C4B" w:rsidRDefault="003B1437" w:rsidP="000A2C4B">
      <w:pPr>
        <w:pStyle w:val="FootnoteText"/>
        <w:ind w:left="654" w:hangingChars="327" w:hanging="654"/>
        <w:rPr>
          <w:rFonts w:ascii="Arial" w:hAnsi="Arial" w:cs="Arial"/>
        </w:rPr>
      </w:pPr>
      <w:r w:rsidRPr="000A2C4B">
        <w:rPr>
          <w:rStyle w:val="FootnoteReference"/>
          <w:rFonts w:ascii="Arial" w:hAnsi="Arial" w:cs="Arial"/>
        </w:rPr>
        <w:footnoteRef/>
      </w:r>
      <w:r w:rsidRPr="000A2C4B">
        <w:rPr>
          <w:rFonts w:ascii="Arial" w:hAnsi="Arial" w:cs="Arial"/>
        </w:rPr>
        <w:t xml:space="preserve"> </w:t>
      </w:r>
      <w:r w:rsidRPr="000A2C4B">
        <w:rPr>
          <w:rFonts w:ascii="Arial" w:hAnsi="Arial" w:cs="Arial"/>
          <w:shd w:val="clear" w:color="auto" w:fill="FFFFFF"/>
        </w:rPr>
        <w:t>Haines, Hallie Grace. "Modernizing the Marianne: The French Feminist Movement and its Effects on Gender Equality." PhD diss., The University of Mississippi, 2015.</w:t>
      </w:r>
    </w:p>
  </w:footnote>
  <w:footnote w:id="21">
    <w:p w14:paraId="6B59863B" w14:textId="77777777" w:rsidR="000A2C4B" w:rsidRPr="000A2C4B" w:rsidRDefault="003B1437" w:rsidP="000A2C4B">
      <w:pPr>
        <w:spacing w:after="0" w:line="240" w:lineRule="auto"/>
        <w:ind w:left="654" w:hangingChars="327" w:hanging="654"/>
        <w:rPr>
          <w:rFonts w:ascii="Arial" w:hAnsi="Arial" w:cs="Arial"/>
          <w:sz w:val="20"/>
          <w:szCs w:val="20"/>
          <w:shd w:val="clear" w:color="auto" w:fill="FFFFFF"/>
        </w:rPr>
      </w:pPr>
      <w:r w:rsidRPr="000A2C4B">
        <w:rPr>
          <w:rStyle w:val="FootnoteReference"/>
          <w:rFonts w:ascii="Arial" w:hAnsi="Arial" w:cs="Arial"/>
          <w:sz w:val="20"/>
          <w:szCs w:val="20"/>
        </w:rPr>
        <w:footnoteRef/>
      </w:r>
      <w:r w:rsidRPr="000A2C4B">
        <w:rPr>
          <w:rFonts w:ascii="Arial" w:hAnsi="Arial" w:cs="Arial"/>
          <w:sz w:val="20"/>
          <w:szCs w:val="20"/>
        </w:rPr>
        <w:t xml:space="preserve"> </w:t>
      </w:r>
      <w:r w:rsidRPr="000A2C4B">
        <w:rPr>
          <w:rFonts w:ascii="Arial" w:hAnsi="Arial" w:cs="Arial"/>
          <w:sz w:val="20"/>
          <w:szCs w:val="20"/>
          <w:shd w:val="clear" w:color="auto" w:fill="FFFFFF"/>
        </w:rPr>
        <w:t>Bergoffen, Debra. Zalta, Edward N., ed. </w:t>
      </w:r>
      <w:hyperlink r:id="rId4" w:history="1">
        <w:r w:rsidRPr="000A2C4B">
          <w:rPr>
            <w:rStyle w:val="Hyperlink"/>
            <w:rFonts w:ascii="Arial" w:hAnsi="Arial" w:cs="Arial"/>
            <w:color w:val="auto"/>
            <w:sz w:val="20"/>
            <w:szCs w:val="20"/>
            <w:u w:val="none"/>
          </w:rPr>
          <w:t>"The Stanford Encyclopedia of Philosophy: Simone de Beauvoir"</w:t>
        </w:r>
      </w:hyperlink>
      <w:r w:rsidRPr="000A2C4B">
        <w:rPr>
          <w:rFonts w:ascii="Arial" w:hAnsi="Arial" w:cs="Arial"/>
          <w:sz w:val="20"/>
          <w:szCs w:val="20"/>
          <w:shd w:val="clear" w:color="auto" w:fill="FFFFFF"/>
        </w:rPr>
        <w:t>. </w:t>
      </w:r>
      <w:r w:rsidRPr="000A2C4B">
        <w:rPr>
          <w:rFonts w:ascii="Arial" w:hAnsi="Arial" w:cs="Arial"/>
          <w:i/>
          <w:iCs/>
          <w:sz w:val="20"/>
          <w:szCs w:val="20"/>
          <w:shd w:val="clear" w:color="auto" w:fill="FFFFFF"/>
        </w:rPr>
        <w:t>plato.stanford.edu</w:t>
      </w:r>
      <w:r w:rsidRPr="000A2C4B">
        <w:rPr>
          <w:rFonts w:ascii="Arial" w:hAnsi="Arial" w:cs="Arial"/>
          <w:sz w:val="20"/>
          <w:szCs w:val="20"/>
          <w:shd w:val="clear" w:color="auto" w:fill="FFFFFF"/>
        </w:rPr>
        <w:t>. Stanford, California: </w:t>
      </w:r>
      <w:hyperlink r:id="rId5" w:tooltip="Stanford University" w:history="1">
        <w:r w:rsidRPr="000A2C4B">
          <w:rPr>
            <w:rStyle w:val="Hyperlink"/>
            <w:rFonts w:ascii="Arial" w:hAnsi="Arial" w:cs="Arial"/>
            <w:color w:val="auto"/>
            <w:sz w:val="20"/>
            <w:szCs w:val="20"/>
            <w:u w:val="none"/>
            <w:shd w:val="clear" w:color="auto" w:fill="FFFFFF"/>
          </w:rPr>
          <w:t>Stanford University</w:t>
        </w:r>
      </w:hyperlink>
      <w:r w:rsidRPr="000A2C4B">
        <w:rPr>
          <w:rFonts w:ascii="Arial" w:hAnsi="Arial" w:cs="Arial"/>
          <w:sz w:val="20"/>
          <w:szCs w:val="20"/>
          <w:shd w:val="clear" w:color="auto" w:fill="FFFFFF"/>
        </w:rPr>
        <w:t xml:space="preserve"> (17 August 2004).</w:t>
      </w:r>
    </w:p>
  </w:footnote>
  <w:footnote w:id="22">
    <w:p w14:paraId="647F7A3F" w14:textId="77777777" w:rsidR="000A2C4B" w:rsidRPr="000A2C4B" w:rsidRDefault="003B1437" w:rsidP="000A2C4B">
      <w:pPr>
        <w:spacing w:after="0" w:line="240" w:lineRule="auto"/>
        <w:ind w:left="654" w:hangingChars="327" w:hanging="654"/>
        <w:rPr>
          <w:rFonts w:ascii="Arial" w:hAnsi="Arial" w:cs="Arial"/>
          <w:sz w:val="20"/>
          <w:szCs w:val="20"/>
          <w:shd w:val="clear" w:color="auto" w:fill="FFFFFF"/>
        </w:rPr>
      </w:pPr>
      <w:r w:rsidRPr="000A2C4B">
        <w:rPr>
          <w:rStyle w:val="FootnoteReference"/>
          <w:rFonts w:ascii="Arial" w:hAnsi="Arial" w:cs="Arial"/>
          <w:sz w:val="20"/>
          <w:szCs w:val="20"/>
        </w:rPr>
        <w:footnoteRef/>
      </w:r>
      <w:r w:rsidRPr="000A2C4B">
        <w:rPr>
          <w:rFonts w:ascii="Arial" w:hAnsi="Arial" w:cs="Arial"/>
          <w:sz w:val="20"/>
          <w:szCs w:val="20"/>
        </w:rPr>
        <w:t xml:space="preserve"> </w:t>
      </w:r>
      <w:r w:rsidRPr="000A2C4B">
        <w:rPr>
          <w:rFonts w:ascii="Arial" w:hAnsi="Arial" w:cs="Arial"/>
          <w:sz w:val="20"/>
          <w:szCs w:val="20"/>
          <w:shd w:val="clear" w:color="auto" w:fill="FFFFFF"/>
        </w:rPr>
        <w:t>Butler, Judith. "Sex and gender in Simone de Beauvoir's Second Sex." </w:t>
      </w:r>
      <w:r w:rsidRPr="000A2C4B">
        <w:rPr>
          <w:rFonts w:ascii="Arial" w:hAnsi="Arial" w:cs="Arial"/>
          <w:i/>
          <w:iCs/>
          <w:sz w:val="20"/>
          <w:szCs w:val="20"/>
          <w:shd w:val="clear" w:color="auto" w:fill="FFFFFF"/>
        </w:rPr>
        <w:t>Yale French Studies</w:t>
      </w:r>
      <w:r w:rsidRPr="000A2C4B">
        <w:rPr>
          <w:rFonts w:ascii="Arial" w:hAnsi="Arial" w:cs="Arial"/>
          <w:sz w:val="20"/>
          <w:szCs w:val="20"/>
          <w:shd w:val="clear" w:color="auto" w:fill="FFFFFF"/>
        </w:rPr>
        <w:t> 72 (1986): 35-49.</w:t>
      </w:r>
    </w:p>
  </w:footnote>
  <w:footnote w:id="23">
    <w:p w14:paraId="0981A39F" w14:textId="77777777" w:rsidR="000A2C4B" w:rsidRPr="009B2A62" w:rsidRDefault="003B1437" w:rsidP="009B2A62">
      <w:pPr>
        <w:spacing w:after="0" w:line="240" w:lineRule="auto"/>
        <w:ind w:left="654" w:hangingChars="327" w:hanging="654"/>
        <w:rPr>
          <w:rFonts w:ascii="Arial" w:hAnsi="Arial" w:cs="Arial"/>
          <w:sz w:val="20"/>
          <w:szCs w:val="20"/>
          <w:shd w:val="clear" w:color="auto" w:fill="FFFFFF"/>
        </w:rPr>
      </w:pPr>
      <w:r w:rsidRPr="000A2C4B">
        <w:rPr>
          <w:rStyle w:val="FootnoteReference"/>
          <w:rFonts w:ascii="Arial" w:hAnsi="Arial" w:cs="Arial"/>
          <w:sz w:val="20"/>
          <w:szCs w:val="20"/>
        </w:rPr>
        <w:footnoteRef/>
      </w:r>
      <w:r w:rsidRPr="000A2C4B">
        <w:rPr>
          <w:rFonts w:ascii="Arial" w:hAnsi="Arial" w:cs="Arial"/>
          <w:sz w:val="20"/>
          <w:szCs w:val="20"/>
        </w:rPr>
        <w:t xml:space="preserve"> </w:t>
      </w:r>
      <w:r w:rsidRPr="000A2C4B">
        <w:rPr>
          <w:rFonts w:ascii="Arial" w:hAnsi="Arial" w:cs="Arial"/>
          <w:sz w:val="20"/>
          <w:szCs w:val="20"/>
          <w:shd w:val="clear" w:color="auto" w:fill="FFFFFF"/>
        </w:rPr>
        <w:t xml:space="preserve">Cook, Megan. </w:t>
      </w:r>
      <w:hyperlink r:id="rId6" w:history="1">
        <w:r w:rsidRPr="000A2C4B">
          <w:rPr>
            <w:rStyle w:val="Hyperlink"/>
            <w:rFonts w:ascii="Arial" w:hAnsi="Arial" w:cs="Arial"/>
            <w:color w:val="auto"/>
            <w:sz w:val="20"/>
            <w:szCs w:val="20"/>
            <w:u w:val="none"/>
          </w:rPr>
          <w:t>"Women's movement—The Women's Liberation Movement"</w:t>
        </w:r>
      </w:hyperlink>
      <w:r w:rsidRPr="000A2C4B">
        <w:rPr>
          <w:rFonts w:ascii="Arial" w:hAnsi="Arial" w:cs="Arial"/>
          <w:sz w:val="20"/>
          <w:szCs w:val="20"/>
          <w:shd w:val="clear" w:color="auto" w:fill="FFFFFF"/>
        </w:rPr>
        <w:t>. </w:t>
      </w:r>
      <w:r w:rsidRPr="000A2C4B">
        <w:rPr>
          <w:rFonts w:ascii="Arial" w:hAnsi="Arial" w:cs="Arial"/>
          <w:i/>
          <w:iCs/>
          <w:sz w:val="20"/>
          <w:szCs w:val="20"/>
          <w:shd w:val="clear" w:color="auto" w:fill="FFFFFF"/>
        </w:rPr>
        <w:t>Te Ara Encyclopedia of New Zealand</w:t>
      </w:r>
      <w:r w:rsidRPr="000A2C4B">
        <w:rPr>
          <w:rFonts w:ascii="Arial" w:hAnsi="Arial" w:cs="Arial"/>
          <w:sz w:val="20"/>
          <w:szCs w:val="20"/>
          <w:shd w:val="clear" w:color="auto" w:fill="FFFFFF"/>
        </w:rPr>
        <w:t xml:space="preserve">. Wellington, New Zealand: New Zealand Ministry for Culture and Heritage Te </w:t>
      </w:r>
      <w:r w:rsidR="00670E7A" w:rsidRPr="000A2C4B">
        <w:rPr>
          <w:rFonts w:ascii="Arial" w:hAnsi="Arial" w:cs="Arial"/>
          <w:sz w:val="20"/>
          <w:szCs w:val="20"/>
          <w:shd w:val="clear" w:color="auto" w:fill="FFFFFF"/>
        </w:rPr>
        <w:t>Manatu. (</w:t>
      </w:r>
      <w:r w:rsidRPr="000A2C4B">
        <w:rPr>
          <w:rFonts w:ascii="Arial" w:hAnsi="Arial" w:cs="Arial"/>
          <w:sz w:val="20"/>
          <w:szCs w:val="20"/>
          <w:shd w:val="clear" w:color="auto" w:fill="FFFFFF"/>
        </w:rPr>
        <w:t xml:space="preserve">5 May 2011). </w:t>
      </w:r>
    </w:p>
  </w:footnote>
  <w:footnote w:id="24">
    <w:p w14:paraId="4D6ED158" w14:textId="77777777" w:rsidR="000A2C4B" w:rsidRPr="000A2C4B" w:rsidRDefault="003B1437" w:rsidP="000A2C4B">
      <w:pPr>
        <w:pStyle w:val="FootnoteText"/>
        <w:ind w:left="654" w:hangingChars="327" w:hanging="654"/>
        <w:rPr>
          <w:rFonts w:ascii="Arial" w:hAnsi="Arial" w:cs="Arial"/>
        </w:rPr>
      </w:pPr>
      <w:r w:rsidRPr="000A2C4B">
        <w:rPr>
          <w:rStyle w:val="FootnoteReference"/>
          <w:rFonts w:ascii="Arial" w:hAnsi="Arial" w:cs="Arial"/>
        </w:rPr>
        <w:footnoteRef/>
      </w:r>
      <w:r w:rsidRPr="000A2C4B">
        <w:rPr>
          <w:rFonts w:ascii="Arial" w:hAnsi="Arial" w:cs="Arial"/>
        </w:rPr>
        <w:t xml:space="preserve"> Ibid.</w:t>
      </w:r>
    </w:p>
  </w:footnote>
  <w:footnote w:id="25">
    <w:p w14:paraId="2F61FADB" w14:textId="77777777" w:rsidR="000A2C4B" w:rsidRPr="009B2A62" w:rsidRDefault="003B1437" w:rsidP="009B2A62">
      <w:pPr>
        <w:spacing w:after="0" w:line="240" w:lineRule="auto"/>
        <w:ind w:left="654" w:hangingChars="327" w:hanging="654"/>
        <w:rPr>
          <w:rFonts w:ascii="Arial" w:hAnsi="Arial" w:cs="Arial"/>
          <w:sz w:val="20"/>
          <w:szCs w:val="20"/>
          <w:shd w:val="clear" w:color="auto" w:fill="FFFFFF"/>
        </w:rPr>
      </w:pPr>
      <w:r w:rsidRPr="000A2C4B">
        <w:rPr>
          <w:rStyle w:val="FootnoteReference"/>
          <w:rFonts w:ascii="Arial" w:hAnsi="Arial" w:cs="Arial"/>
          <w:sz w:val="20"/>
          <w:szCs w:val="20"/>
        </w:rPr>
        <w:footnoteRef/>
      </w:r>
      <w:r w:rsidRPr="000A2C4B">
        <w:rPr>
          <w:rFonts w:ascii="Arial" w:hAnsi="Arial" w:cs="Arial"/>
          <w:sz w:val="20"/>
          <w:szCs w:val="20"/>
        </w:rPr>
        <w:t xml:space="preserve"> </w:t>
      </w:r>
      <w:r w:rsidRPr="000A2C4B">
        <w:rPr>
          <w:rFonts w:ascii="Arial" w:hAnsi="Arial" w:cs="Arial"/>
          <w:sz w:val="20"/>
          <w:szCs w:val="20"/>
          <w:shd w:val="clear" w:color="auto" w:fill="FFFFFF"/>
        </w:rPr>
        <w:t>Haines, Hallie Grace. "Modernizing the Marianne: The French Feminist Movement and its Effects on Gender Equality." PhD diss., The University of Mississippi, 2015.</w:t>
      </w:r>
    </w:p>
  </w:footnote>
  <w:footnote w:id="26">
    <w:p w14:paraId="5CE16DE3" w14:textId="77777777" w:rsidR="000A2C4B" w:rsidRPr="009B2A62" w:rsidRDefault="003B1437" w:rsidP="009B2A62">
      <w:pPr>
        <w:spacing w:after="0" w:line="240" w:lineRule="auto"/>
        <w:ind w:left="654" w:hangingChars="327" w:hanging="654"/>
        <w:rPr>
          <w:rFonts w:ascii="Arial" w:hAnsi="Arial" w:cs="Arial"/>
          <w:sz w:val="20"/>
          <w:szCs w:val="20"/>
          <w:shd w:val="clear" w:color="auto" w:fill="FFFFFF"/>
        </w:rPr>
      </w:pPr>
      <w:r w:rsidRPr="000A2C4B">
        <w:rPr>
          <w:rStyle w:val="FootnoteReference"/>
          <w:rFonts w:ascii="Arial" w:hAnsi="Arial" w:cs="Arial"/>
          <w:sz w:val="20"/>
          <w:szCs w:val="20"/>
        </w:rPr>
        <w:footnoteRef/>
      </w:r>
      <w:r w:rsidRPr="000A2C4B">
        <w:rPr>
          <w:rFonts w:ascii="Arial" w:hAnsi="Arial" w:cs="Arial"/>
          <w:sz w:val="20"/>
          <w:szCs w:val="20"/>
        </w:rPr>
        <w:t xml:space="preserve"> </w:t>
      </w:r>
      <w:r w:rsidRPr="000A2C4B">
        <w:rPr>
          <w:rFonts w:ascii="Arial" w:hAnsi="Arial" w:cs="Arial"/>
          <w:sz w:val="20"/>
          <w:szCs w:val="20"/>
          <w:shd w:val="clear" w:color="auto" w:fill="FFFFFF"/>
        </w:rPr>
        <w:t>Gianoulis, Tina. "Women’s liberation movement." </w:t>
      </w:r>
      <w:r w:rsidRPr="000A2C4B">
        <w:rPr>
          <w:rFonts w:ascii="Arial" w:hAnsi="Arial" w:cs="Arial"/>
          <w:i/>
          <w:iCs/>
          <w:sz w:val="20"/>
          <w:szCs w:val="20"/>
          <w:shd w:val="clear" w:color="auto" w:fill="FFFFFF"/>
        </w:rPr>
        <w:t>Glbtq: An encyclopedia of gay, lesbian, bisexual, transgender and queer culture</w:t>
      </w:r>
      <w:r w:rsidRPr="000A2C4B">
        <w:rPr>
          <w:rFonts w:ascii="Arial" w:hAnsi="Arial" w:cs="Arial"/>
          <w:sz w:val="20"/>
          <w:szCs w:val="20"/>
          <w:shd w:val="clear" w:color="auto" w:fill="FFFFFF"/>
        </w:rPr>
        <w:t> (2004).</w:t>
      </w:r>
    </w:p>
  </w:footnote>
  <w:footnote w:id="27">
    <w:p w14:paraId="4F417E7F" w14:textId="77777777" w:rsidR="000A2C4B" w:rsidRPr="000A2C4B" w:rsidRDefault="003B1437" w:rsidP="000A2C4B">
      <w:pPr>
        <w:spacing w:after="0" w:line="240" w:lineRule="auto"/>
        <w:ind w:left="654" w:hangingChars="327" w:hanging="654"/>
        <w:rPr>
          <w:rFonts w:ascii="Arial" w:hAnsi="Arial" w:cs="Arial"/>
          <w:sz w:val="20"/>
          <w:szCs w:val="20"/>
          <w:shd w:val="clear" w:color="auto" w:fill="FFFFFF"/>
        </w:rPr>
      </w:pPr>
      <w:r w:rsidRPr="000A2C4B">
        <w:rPr>
          <w:rStyle w:val="FootnoteReference"/>
          <w:rFonts w:ascii="Arial" w:hAnsi="Arial" w:cs="Arial"/>
          <w:sz w:val="20"/>
          <w:szCs w:val="20"/>
        </w:rPr>
        <w:footnoteRef/>
      </w:r>
      <w:r w:rsidRPr="000A2C4B">
        <w:rPr>
          <w:rFonts w:ascii="Arial" w:hAnsi="Arial" w:cs="Arial"/>
          <w:sz w:val="20"/>
          <w:szCs w:val="20"/>
        </w:rPr>
        <w:t xml:space="preserve"> </w:t>
      </w:r>
      <w:r w:rsidRPr="000A2C4B">
        <w:rPr>
          <w:rFonts w:ascii="Arial" w:hAnsi="Arial" w:cs="Arial"/>
          <w:sz w:val="20"/>
          <w:szCs w:val="20"/>
          <w:shd w:val="clear" w:color="auto" w:fill="FFFFFF"/>
        </w:rPr>
        <w:t>Haines, Hallie Grace. "Modernizing the Marianne: The French Feminist Movement and its Effects on Gender Equality." PhD diss., The University of Mississippi, 2015.</w:t>
      </w:r>
    </w:p>
    <w:p w14:paraId="1E9EB098" w14:textId="77777777" w:rsidR="000A2C4B" w:rsidRPr="000A2C4B" w:rsidRDefault="000A2C4B" w:rsidP="000A2C4B">
      <w:pPr>
        <w:pStyle w:val="FootnoteText"/>
        <w:ind w:left="654" w:hangingChars="327" w:hanging="654"/>
        <w:rPr>
          <w:rFonts w:ascii="Arial" w:hAnsi="Arial" w:cs="Arial"/>
        </w:rPr>
      </w:pPr>
    </w:p>
  </w:footnote>
  <w:footnote w:id="28">
    <w:p w14:paraId="48E9849F" w14:textId="77777777" w:rsidR="000A2C4B" w:rsidRPr="009B2A62" w:rsidRDefault="003B1437" w:rsidP="009B2A62">
      <w:pPr>
        <w:spacing w:after="0" w:line="240" w:lineRule="auto"/>
        <w:ind w:left="654" w:hangingChars="327" w:hanging="654"/>
        <w:rPr>
          <w:rFonts w:ascii="Arial" w:hAnsi="Arial" w:cs="Arial"/>
          <w:sz w:val="20"/>
          <w:szCs w:val="20"/>
          <w:shd w:val="clear" w:color="auto" w:fill="FFFFFF"/>
        </w:rPr>
      </w:pPr>
      <w:r w:rsidRPr="000A2C4B">
        <w:rPr>
          <w:rStyle w:val="FootnoteReference"/>
          <w:rFonts w:ascii="Arial" w:hAnsi="Arial" w:cs="Arial"/>
          <w:sz w:val="20"/>
          <w:szCs w:val="20"/>
        </w:rPr>
        <w:footnoteRef/>
      </w:r>
      <w:r w:rsidRPr="000A2C4B">
        <w:rPr>
          <w:rFonts w:ascii="Arial" w:hAnsi="Arial" w:cs="Arial"/>
          <w:sz w:val="20"/>
          <w:szCs w:val="20"/>
        </w:rPr>
        <w:t xml:space="preserve"> </w:t>
      </w:r>
      <w:r w:rsidRPr="000A2C4B">
        <w:rPr>
          <w:rFonts w:ascii="Arial" w:hAnsi="Arial" w:cs="Arial"/>
          <w:sz w:val="20"/>
          <w:szCs w:val="20"/>
          <w:shd w:val="clear" w:color="auto" w:fill="FFFFFF"/>
        </w:rPr>
        <w:t>Gianoulis, Tina. "Women’s liberation movement." </w:t>
      </w:r>
      <w:r w:rsidRPr="000A2C4B">
        <w:rPr>
          <w:rFonts w:ascii="Arial" w:hAnsi="Arial" w:cs="Arial"/>
          <w:i/>
          <w:iCs/>
          <w:sz w:val="20"/>
          <w:szCs w:val="20"/>
          <w:shd w:val="clear" w:color="auto" w:fill="FFFFFF"/>
        </w:rPr>
        <w:t>Glbtq: An encyclopedia of gay, lesbian, bisexual, transgender and queer culture</w:t>
      </w:r>
      <w:r w:rsidRPr="000A2C4B">
        <w:rPr>
          <w:rFonts w:ascii="Arial" w:hAnsi="Arial" w:cs="Arial"/>
          <w:sz w:val="20"/>
          <w:szCs w:val="20"/>
          <w:shd w:val="clear" w:color="auto" w:fill="FFFFFF"/>
        </w:rPr>
        <w:t> (2004).</w:t>
      </w:r>
    </w:p>
  </w:footnote>
  <w:footnote w:id="29">
    <w:p w14:paraId="41919397" w14:textId="77777777" w:rsidR="000A2C4B" w:rsidRPr="000A2C4B" w:rsidRDefault="003B1437" w:rsidP="000A2C4B">
      <w:pPr>
        <w:pStyle w:val="FootnoteText"/>
        <w:ind w:left="654" w:hangingChars="327" w:hanging="654"/>
        <w:rPr>
          <w:rFonts w:ascii="Arial" w:hAnsi="Arial" w:cs="Arial"/>
        </w:rPr>
      </w:pPr>
      <w:r w:rsidRPr="000A2C4B">
        <w:rPr>
          <w:rStyle w:val="FootnoteReference"/>
          <w:rFonts w:ascii="Arial" w:hAnsi="Arial" w:cs="Arial"/>
        </w:rPr>
        <w:footnoteRef/>
      </w:r>
      <w:r w:rsidRPr="000A2C4B">
        <w:rPr>
          <w:rFonts w:ascii="Arial" w:hAnsi="Arial" w:cs="Arial"/>
        </w:rPr>
        <w:t xml:space="preserve"> Ibid.</w:t>
      </w:r>
    </w:p>
  </w:footnote>
  <w:footnote w:id="30">
    <w:p w14:paraId="08D7DACE" w14:textId="77777777" w:rsidR="000A2C4B" w:rsidRPr="000A2C4B" w:rsidRDefault="003B1437" w:rsidP="000A2C4B">
      <w:pPr>
        <w:spacing w:after="0" w:line="240" w:lineRule="auto"/>
        <w:ind w:left="654" w:hangingChars="327" w:hanging="654"/>
        <w:rPr>
          <w:rFonts w:ascii="Arial" w:hAnsi="Arial" w:cs="Arial"/>
          <w:sz w:val="20"/>
          <w:szCs w:val="20"/>
          <w:shd w:val="clear" w:color="auto" w:fill="FFFFFF"/>
        </w:rPr>
      </w:pPr>
      <w:r w:rsidRPr="000A2C4B">
        <w:rPr>
          <w:rStyle w:val="FootnoteReference"/>
          <w:rFonts w:ascii="Arial" w:hAnsi="Arial" w:cs="Arial"/>
          <w:sz w:val="20"/>
          <w:szCs w:val="20"/>
        </w:rPr>
        <w:footnoteRef/>
      </w:r>
      <w:r w:rsidRPr="000A2C4B">
        <w:rPr>
          <w:rFonts w:ascii="Arial" w:hAnsi="Arial" w:cs="Arial"/>
          <w:sz w:val="20"/>
          <w:szCs w:val="20"/>
        </w:rPr>
        <w:t xml:space="preserve"> </w:t>
      </w:r>
      <w:r w:rsidRPr="000A2C4B">
        <w:rPr>
          <w:rFonts w:ascii="Arial" w:hAnsi="Arial" w:cs="Arial"/>
          <w:sz w:val="20"/>
          <w:szCs w:val="20"/>
          <w:shd w:val="clear" w:color="auto" w:fill="FFFFFF"/>
        </w:rPr>
        <w:t>GHORFATI, Amina, and Rabha MEDINI. "Feminism and its Impact On woman in the Modern Society." PhD diss., 2015.</w:t>
      </w:r>
    </w:p>
    <w:p w14:paraId="5BF1C73C" w14:textId="77777777" w:rsidR="000A2C4B" w:rsidRDefault="000A2C4B" w:rsidP="000A2C4B">
      <w:pPr>
        <w:pStyle w:val="FootnoteText"/>
        <w:ind w:left="654" w:hangingChars="327" w:hanging="654"/>
        <w:rPr>
          <w:rFonts w:ascii="Arial" w:hAnsi="Arial" w:cs="Arial"/>
        </w:rPr>
      </w:pPr>
    </w:p>
    <w:p w14:paraId="65751DB0" w14:textId="77777777" w:rsidR="009B2A62" w:rsidRPr="000A2C4B" w:rsidRDefault="009B2A62" w:rsidP="000A2C4B">
      <w:pPr>
        <w:pStyle w:val="FootnoteText"/>
        <w:ind w:left="654" w:hangingChars="327" w:hanging="654"/>
        <w:rPr>
          <w:rFonts w:ascii="Arial" w:hAnsi="Arial" w:cs="Aria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AAB2D3" w14:textId="77777777" w:rsidR="000A2C4B" w:rsidRPr="000A2C4B" w:rsidRDefault="003B1437" w:rsidP="000A2C4B">
    <w:pPr>
      <w:pStyle w:val="Header"/>
      <w:jc w:val="right"/>
      <w:rPr>
        <w:rFonts w:ascii="Times New Roman" w:hAnsi="Times New Roman" w:cs="Times New Roman"/>
        <w:sz w:val="24"/>
        <w:szCs w:val="24"/>
      </w:rPr>
    </w:pPr>
    <w:r w:rsidRPr="000A2C4B">
      <w:rPr>
        <w:rFonts w:ascii="Times New Roman" w:hAnsi="Times New Roman" w:cs="Times New Roman"/>
        <w:sz w:val="24"/>
        <w:szCs w:val="24"/>
      </w:rPr>
      <w:t xml:space="preserve">Surname </w:t>
    </w:r>
    <w:r w:rsidRPr="000A2C4B">
      <w:rPr>
        <w:rFonts w:ascii="Times New Roman" w:hAnsi="Times New Roman" w:cs="Times New Roman"/>
        <w:sz w:val="24"/>
        <w:szCs w:val="24"/>
      </w:rPr>
      <w:fldChar w:fldCharType="begin"/>
    </w:r>
    <w:r w:rsidRPr="000A2C4B">
      <w:rPr>
        <w:rFonts w:ascii="Times New Roman" w:hAnsi="Times New Roman" w:cs="Times New Roman"/>
        <w:sz w:val="24"/>
        <w:szCs w:val="24"/>
      </w:rPr>
      <w:instrText xml:space="preserve"> PAGE   \* MERGEFORMAT </w:instrText>
    </w:r>
    <w:r w:rsidRPr="000A2C4B">
      <w:rPr>
        <w:rFonts w:ascii="Times New Roman" w:hAnsi="Times New Roman" w:cs="Times New Roman"/>
        <w:sz w:val="24"/>
        <w:szCs w:val="24"/>
      </w:rPr>
      <w:fldChar w:fldCharType="separate"/>
    </w:r>
    <w:r w:rsidR="009B2A62">
      <w:rPr>
        <w:rFonts w:ascii="Times New Roman" w:hAnsi="Times New Roman" w:cs="Times New Roman"/>
        <w:noProof/>
        <w:sz w:val="24"/>
        <w:szCs w:val="24"/>
      </w:rPr>
      <w:t>10</w:t>
    </w:r>
    <w:r w:rsidRPr="000A2C4B">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72123"/>
    <w:multiLevelType w:val="hybridMultilevel"/>
    <w:tmpl w:val="412244BA"/>
    <w:lvl w:ilvl="0" w:tplc="BBC89F8C">
      <w:start w:val="1"/>
      <w:numFmt w:val="decimal"/>
      <w:lvlText w:val="%1.)"/>
      <w:lvlJc w:val="left"/>
      <w:pPr>
        <w:ind w:left="720" w:hanging="360"/>
      </w:pPr>
      <w:rPr>
        <w:rFonts w:hint="default"/>
      </w:rPr>
    </w:lvl>
    <w:lvl w:ilvl="1" w:tplc="6C988AF0" w:tentative="1">
      <w:start w:val="1"/>
      <w:numFmt w:val="lowerLetter"/>
      <w:lvlText w:val="%2."/>
      <w:lvlJc w:val="left"/>
      <w:pPr>
        <w:ind w:left="1440" w:hanging="360"/>
      </w:pPr>
    </w:lvl>
    <w:lvl w:ilvl="2" w:tplc="96DE6480" w:tentative="1">
      <w:start w:val="1"/>
      <w:numFmt w:val="lowerRoman"/>
      <w:lvlText w:val="%3."/>
      <w:lvlJc w:val="right"/>
      <w:pPr>
        <w:ind w:left="2160" w:hanging="180"/>
      </w:pPr>
    </w:lvl>
    <w:lvl w:ilvl="3" w:tplc="E8268F18" w:tentative="1">
      <w:start w:val="1"/>
      <w:numFmt w:val="decimal"/>
      <w:lvlText w:val="%4."/>
      <w:lvlJc w:val="left"/>
      <w:pPr>
        <w:ind w:left="2880" w:hanging="360"/>
      </w:pPr>
    </w:lvl>
    <w:lvl w:ilvl="4" w:tplc="0046B7D2" w:tentative="1">
      <w:start w:val="1"/>
      <w:numFmt w:val="lowerLetter"/>
      <w:lvlText w:val="%5."/>
      <w:lvlJc w:val="left"/>
      <w:pPr>
        <w:ind w:left="3600" w:hanging="360"/>
      </w:pPr>
    </w:lvl>
    <w:lvl w:ilvl="5" w:tplc="958A3D82" w:tentative="1">
      <w:start w:val="1"/>
      <w:numFmt w:val="lowerRoman"/>
      <w:lvlText w:val="%6."/>
      <w:lvlJc w:val="right"/>
      <w:pPr>
        <w:ind w:left="4320" w:hanging="180"/>
      </w:pPr>
    </w:lvl>
    <w:lvl w:ilvl="6" w:tplc="10063410" w:tentative="1">
      <w:start w:val="1"/>
      <w:numFmt w:val="decimal"/>
      <w:lvlText w:val="%7."/>
      <w:lvlJc w:val="left"/>
      <w:pPr>
        <w:ind w:left="5040" w:hanging="360"/>
      </w:pPr>
    </w:lvl>
    <w:lvl w:ilvl="7" w:tplc="91BA2D78" w:tentative="1">
      <w:start w:val="1"/>
      <w:numFmt w:val="lowerLetter"/>
      <w:lvlText w:val="%8."/>
      <w:lvlJc w:val="left"/>
      <w:pPr>
        <w:ind w:left="5760" w:hanging="360"/>
      </w:pPr>
    </w:lvl>
    <w:lvl w:ilvl="8" w:tplc="BFB400EA" w:tentative="1">
      <w:start w:val="1"/>
      <w:numFmt w:val="lowerRoman"/>
      <w:lvlText w:val="%9."/>
      <w:lvlJc w:val="right"/>
      <w:pPr>
        <w:ind w:left="6480" w:hanging="180"/>
      </w:pPr>
    </w:lvl>
  </w:abstractNum>
  <w:abstractNum w:abstractNumId="1" w15:restartNumberingAfterBreak="0">
    <w:nsid w:val="44C57035"/>
    <w:multiLevelType w:val="hybridMultilevel"/>
    <w:tmpl w:val="30E0827C"/>
    <w:lvl w:ilvl="0" w:tplc="66A8A72C">
      <w:start w:val="1"/>
      <w:numFmt w:val="decimal"/>
      <w:lvlText w:val="%1.)"/>
      <w:lvlJc w:val="left"/>
      <w:pPr>
        <w:ind w:left="720" w:hanging="360"/>
      </w:pPr>
      <w:rPr>
        <w:rFonts w:hint="default"/>
      </w:rPr>
    </w:lvl>
    <w:lvl w:ilvl="1" w:tplc="F3A6B554" w:tentative="1">
      <w:start w:val="1"/>
      <w:numFmt w:val="lowerLetter"/>
      <w:lvlText w:val="%2."/>
      <w:lvlJc w:val="left"/>
      <w:pPr>
        <w:ind w:left="1440" w:hanging="360"/>
      </w:pPr>
    </w:lvl>
    <w:lvl w:ilvl="2" w:tplc="CE787ED4" w:tentative="1">
      <w:start w:val="1"/>
      <w:numFmt w:val="lowerRoman"/>
      <w:lvlText w:val="%3."/>
      <w:lvlJc w:val="right"/>
      <w:pPr>
        <w:ind w:left="2160" w:hanging="180"/>
      </w:pPr>
    </w:lvl>
    <w:lvl w:ilvl="3" w:tplc="F67CA2B6" w:tentative="1">
      <w:start w:val="1"/>
      <w:numFmt w:val="decimal"/>
      <w:lvlText w:val="%4."/>
      <w:lvlJc w:val="left"/>
      <w:pPr>
        <w:ind w:left="2880" w:hanging="360"/>
      </w:pPr>
    </w:lvl>
    <w:lvl w:ilvl="4" w:tplc="D14838AA" w:tentative="1">
      <w:start w:val="1"/>
      <w:numFmt w:val="lowerLetter"/>
      <w:lvlText w:val="%5."/>
      <w:lvlJc w:val="left"/>
      <w:pPr>
        <w:ind w:left="3600" w:hanging="360"/>
      </w:pPr>
    </w:lvl>
    <w:lvl w:ilvl="5" w:tplc="31282826" w:tentative="1">
      <w:start w:val="1"/>
      <w:numFmt w:val="lowerRoman"/>
      <w:lvlText w:val="%6."/>
      <w:lvlJc w:val="right"/>
      <w:pPr>
        <w:ind w:left="4320" w:hanging="180"/>
      </w:pPr>
    </w:lvl>
    <w:lvl w:ilvl="6" w:tplc="8D74045A" w:tentative="1">
      <w:start w:val="1"/>
      <w:numFmt w:val="decimal"/>
      <w:lvlText w:val="%7."/>
      <w:lvlJc w:val="left"/>
      <w:pPr>
        <w:ind w:left="5040" w:hanging="360"/>
      </w:pPr>
    </w:lvl>
    <w:lvl w:ilvl="7" w:tplc="603E85C4" w:tentative="1">
      <w:start w:val="1"/>
      <w:numFmt w:val="lowerLetter"/>
      <w:lvlText w:val="%8."/>
      <w:lvlJc w:val="left"/>
      <w:pPr>
        <w:ind w:left="5760" w:hanging="360"/>
      </w:pPr>
    </w:lvl>
    <w:lvl w:ilvl="8" w:tplc="48CAC858" w:tentative="1">
      <w:start w:val="1"/>
      <w:numFmt w:val="lowerRoman"/>
      <w:lvlText w:val="%9."/>
      <w:lvlJc w:val="right"/>
      <w:pPr>
        <w:ind w:left="6480" w:hanging="180"/>
      </w:pPr>
    </w:lvl>
  </w:abstractNum>
  <w:abstractNum w:abstractNumId="2" w15:restartNumberingAfterBreak="0">
    <w:nsid w:val="714A7023"/>
    <w:multiLevelType w:val="hybridMultilevel"/>
    <w:tmpl w:val="80F24476"/>
    <w:lvl w:ilvl="0" w:tplc="E61C6C72">
      <w:start w:val="1"/>
      <w:numFmt w:val="decimal"/>
      <w:lvlText w:val="%1.)"/>
      <w:lvlJc w:val="left"/>
      <w:pPr>
        <w:ind w:left="720" w:hanging="360"/>
      </w:pPr>
      <w:rPr>
        <w:rFonts w:hint="default"/>
      </w:rPr>
    </w:lvl>
    <w:lvl w:ilvl="1" w:tplc="C6A67A5E" w:tentative="1">
      <w:start w:val="1"/>
      <w:numFmt w:val="lowerLetter"/>
      <w:lvlText w:val="%2."/>
      <w:lvlJc w:val="left"/>
      <w:pPr>
        <w:ind w:left="1440" w:hanging="360"/>
      </w:pPr>
    </w:lvl>
    <w:lvl w:ilvl="2" w:tplc="0CCE8018" w:tentative="1">
      <w:start w:val="1"/>
      <w:numFmt w:val="lowerRoman"/>
      <w:lvlText w:val="%3."/>
      <w:lvlJc w:val="right"/>
      <w:pPr>
        <w:ind w:left="2160" w:hanging="180"/>
      </w:pPr>
    </w:lvl>
    <w:lvl w:ilvl="3" w:tplc="85741594" w:tentative="1">
      <w:start w:val="1"/>
      <w:numFmt w:val="decimal"/>
      <w:lvlText w:val="%4."/>
      <w:lvlJc w:val="left"/>
      <w:pPr>
        <w:ind w:left="2880" w:hanging="360"/>
      </w:pPr>
    </w:lvl>
    <w:lvl w:ilvl="4" w:tplc="29B46B9E" w:tentative="1">
      <w:start w:val="1"/>
      <w:numFmt w:val="lowerLetter"/>
      <w:lvlText w:val="%5."/>
      <w:lvlJc w:val="left"/>
      <w:pPr>
        <w:ind w:left="3600" w:hanging="360"/>
      </w:pPr>
    </w:lvl>
    <w:lvl w:ilvl="5" w:tplc="15BC2ECA" w:tentative="1">
      <w:start w:val="1"/>
      <w:numFmt w:val="lowerRoman"/>
      <w:lvlText w:val="%6."/>
      <w:lvlJc w:val="right"/>
      <w:pPr>
        <w:ind w:left="4320" w:hanging="180"/>
      </w:pPr>
    </w:lvl>
    <w:lvl w:ilvl="6" w:tplc="885E1C3A" w:tentative="1">
      <w:start w:val="1"/>
      <w:numFmt w:val="decimal"/>
      <w:lvlText w:val="%7."/>
      <w:lvlJc w:val="left"/>
      <w:pPr>
        <w:ind w:left="5040" w:hanging="360"/>
      </w:pPr>
    </w:lvl>
    <w:lvl w:ilvl="7" w:tplc="37FC4BF4" w:tentative="1">
      <w:start w:val="1"/>
      <w:numFmt w:val="lowerLetter"/>
      <w:lvlText w:val="%8."/>
      <w:lvlJc w:val="left"/>
      <w:pPr>
        <w:ind w:left="5760" w:hanging="360"/>
      </w:pPr>
    </w:lvl>
    <w:lvl w:ilvl="8" w:tplc="2CC8800E"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137"/>
    <w:rsid w:val="000011D4"/>
    <w:rsid w:val="000742B4"/>
    <w:rsid w:val="000755EE"/>
    <w:rsid w:val="000A2C4B"/>
    <w:rsid w:val="000A3E6C"/>
    <w:rsid w:val="000B05A8"/>
    <w:rsid w:val="00133BCD"/>
    <w:rsid w:val="00155137"/>
    <w:rsid w:val="001C37CB"/>
    <w:rsid w:val="0020528C"/>
    <w:rsid w:val="0022749B"/>
    <w:rsid w:val="002A2F32"/>
    <w:rsid w:val="002C7070"/>
    <w:rsid w:val="002E2F68"/>
    <w:rsid w:val="00346C15"/>
    <w:rsid w:val="00366280"/>
    <w:rsid w:val="003B1437"/>
    <w:rsid w:val="00402A7E"/>
    <w:rsid w:val="00471CAB"/>
    <w:rsid w:val="00477584"/>
    <w:rsid w:val="004E17AF"/>
    <w:rsid w:val="00555D68"/>
    <w:rsid w:val="0062148E"/>
    <w:rsid w:val="00670E7A"/>
    <w:rsid w:val="006A41A6"/>
    <w:rsid w:val="00700264"/>
    <w:rsid w:val="00750233"/>
    <w:rsid w:val="007C52FD"/>
    <w:rsid w:val="0087729F"/>
    <w:rsid w:val="00920323"/>
    <w:rsid w:val="00952C25"/>
    <w:rsid w:val="00966A53"/>
    <w:rsid w:val="00990ECF"/>
    <w:rsid w:val="009B2A62"/>
    <w:rsid w:val="009B4292"/>
    <w:rsid w:val="00A03EC4"/>
    <w:rsid w:val="00A40BAA"/>
    <w:rsid w:val="00AD3597"/>
    <w:rsid w:val="00AF1A7A"/>
    <w:rsid w:val="00B0629D"/>
    <w:rsid w:val="00B87129"/>
    <w:rsid w:val="00BF21DD"/>
    <w:rsid w:val="00C85863"/>
    <w:rsid w:val="00D26B8B"/>
    <w:rsid w:val="00D40885"/>
    <w:rsid w:val="00D971FC"/>
    <w:rsid w:val="00DB68CD"/>
    <w:rsid w:val="00DF6455"/>
    <w:rsid w:val="00E04F06"/>
    <w:rsid w:val="00F139E9"/>
    <w:rsid w:val="00F15F3F"/>
    <w:rsid w:val="00F67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AE1D3"/>
  <w15:docId w15:val="{84D1ACAC-839B-4DD9-B9B8-00CB14A83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5137"/>
    <w:pPr>
      <w:ind w:left="720"/>
      <w:contextualSpacing/>
    </w:pPr>
  </w:style>
  <w:style w:type="character" w:styleId="Hyperlink">
    <w:name w:val="Hyperlink"/>
    <w:basedOn w:val="DefaultParagraphFont"/>
    <w:uiPriority w:val="99"/>
    <w:semiHidden/>
    <w:unhideWhenUsed/>
    <w:rsid w:val="006A41A6"/>
    <w:rPr>
      <w:color w:val="0000FF"/>
      <w:u w:val="single"/>
    </w:rPr>
  </w:style>
  <w:style w:type="paragraph" w:styleId="FootnoteText">
    <w:name w:val="footnote text"/>
    <w:basedOn w:val="Normal"/>
    <w:link w:val="FootnoteTextChar"/>
    <w:uiPriority w:val="99"/>
    <w:semiHidden/>
    <w:unhideWhenUsed/>
    <w:rsid w:val="00A03E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03EC4"/>
    <w:rPr>
      <w:sz w:val="20"/>
      <w:szCs w:val="20"/>
    </w:rPr>
  </w:style>
  <w:style w:type="character" w:styleId="FootnoteReference">
    <w:name w:val="footnote reference"/>
    <w:basedOn w:val="DefaultParagraphFont"/>
    <w:uiPriority w:val="99"/>
    <w:semiHidden/>
    <w:unhideWhenUsed/>
    <w:rsid w:val="00A03EC4"/>
    <w:rPr>
      <w:vertAlign w:val="superscript"/>
    </w:rPr>
  </w:style>
  <w:style w:type="paragraph" w:styleId="Header">
    <w:name w:val="header"/>
    <w:basedOn w:val="Normal"/>
    <w:link w:val="HeaderChar"/>
    <w:uiPriority w:val="99"/>
    <w:unhideWhenUsed/>
    <w:rsid w:val="000A2C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C4B"/>
  </w:style>
  <w:style w:type="paragraph" w:styleId="Footer">
    <w:name w:val="footer"/>
    <w:basedOn w:val="Normal"/>
    <w:link w:val="FooterChar"/>
    <w:uiPriority w:val="99"/>
    <w:unhideWhenUsed/>
    <w:rsid w:val="000A2C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C4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011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11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rchive.org/web/20180311025425/https:/plato.stanford.edu/entries/beauvoi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eb.archive.org/web/20170608200658/http:/www.teara.govt.nz/en/womens-movement/page-6" TargetMode="External"/><Relationship Id="rId4" Type="http://schemas.openxmlformats.org/officeDocument/2006/relationships/settings" Target="settings.xml"/><Relationship Id="rId9" Type="http://schemas.openxmlformats.org/officeDocument/2006/relationships/hyperlink" Target="https://en.wikipedia.org/wiki/Stanford_University"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n.wikipedia.org/wiki/Stanford_University" TargetMode="External"/><Relationship Id="rId2" Type="http://schemas.openxmlformats.org/officeDocument/2006/relationships/hyperlink" Target="https://web.archive.org/web/20180311025425/https:/plato.stanford.edu/entries/beauvoir/" TargetMode="External"/><Relationship Id="rId1" Type="http://schemas.openxmlformats.org/officeDocument/2006/relationships/hyperlink" Target="https://web.archive.org/web/20170608200658/http:/www.teara.govt.nz/en/womens-movement/page-6" TargetMode="External"/><Relationship Id="rId6" Type="http://schemas.openxmlformats.org/officeDocument/2006/relationships/hyperlink" Target="https://web.archive.org/web/20170608200658/http:/www.teara.govt.nz/en/womens-movement/page-6" TargetMode="External"/><Relationship Id="rId5" Type="http://schemas.openxmlformats.org/officeDocument/2006/relationships/hyperlink" Target="https://en.wikipedia.org/wiki/Stanford_University" TargetMode="External"/><Relationship Id="rId4" Type="http://schemas.openxmlformats.org/officeDocument/2006/relationships/hyperlink" Target="https://web.archive.org/web/20180311025425/https:/plato.stanford.edu/entries/beauvo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643B45-357E-694A-9F7C-853B8B16782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3722</Words>
  <Characters>21216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Harmony Clements</cp:lastModifiedBy>
  <cp:revision>2</cp:revision>
  <dcterms:created xsi:type="dcterms:W3CDTF">2018-08-20T00:17:00Z</dcterms:created>
  <dcterms:modified xsi:type="dcterms:W3CDTF">2018-08-20T00:17:00Z</dcterms:modified>
</cp:coreProperties>
</file>